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D09" w:rsidRDefault="00F16E3B" w:rsidP="0080131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Заключение </w:t>
      </w:r>
      <w:r w:rsidR="0080131F" w:rsidRPr="0080131F">
        <w:rPr>
          <w:rFonts w:ascii="Times New Roman" w:hAnsi="Times New Roman"/>
          <w:b/>
          <w:sz w:val="24"/>
          <w:szCs w:val="24"/>
          <w:lang w:eastAsia="ru-RU"/>
        </w:rPr>
        <w:t>о пересмотр</w:t>
      </w:r>
      <w:r w:rsidR="00605F2E">
        <w:rPr>
          <w:rFonts w:ascii="Times New Roman" w:hAnsi="Times New Roman"/>
          <w:b/>
          <w:sz w:val="24"/>
          <w:szCs w:val="24"/>
          <w:lang w:eastAsia="ru-RU"/>
        </w:rPr>
        <w:t>е</w:t>
      </w:r>
      <w:r w:rsidR="0080131F" w:rsidRPr="0080131F">
        <w:rPr>
          <w:rFonts w:ascii="Times New Roman" w:hAnsi="Times New Roman"/>
          <w:b/>
          <w:sz w:val="24"/>
          <w:szCs w:val="24"/>
          <w:lang w:eastAsia="ru-RU"/>
        </w:rPr>
        <w:t xml:space="preserve"> </w:t>
      </w:r>
      <w:r w:rsidR="008350A6">
        <w:rPr>
          <w:rFonts w:ascii="Times New Roman" w:hAnsi="Times New Roman"/>
          <w:b/>
          <w:sz w:val="24"/>
          <w:szCs w:val="24"/>
          <w:lang w:eastAsia="ru-RU"/>
        </w:rPr>
        <w:t>установленн</w:t>
      </w:r>
      <w:r w:rsidR="00FF49FF">
        <w:rPr>
          <w:rFonts w:ascii="Times New Roman" w:hAnsi="Times New Roman"/>
          <w:b/>
          <w:sz w:val="24"/>
          <w:szCs w:val="24"/>
          <w:lang w:eastAsia="ru-RU"/>
        </w:rPr>
        <w:t>ой</w:t>
      </w:r>
      <w:r w:rsidR="008350A6">
        <w:rPr>
          <w:rFonts w:ascii="Times New Roman" w:hAnsi="Times New Roman"/>
          <w:b/>
          <w:sz w:val="24"/>
          <w:szCs w:val="24"/>
          <w:lang w:eastAsia="ru-RU"/>
        </w:rPr>
        <w:t xml:space="preserve"> </w:t>
      </w:r>
      <w:r w:rsidR="008350A6" w:rsidRPr="00FF49FF">
        <w:rPr>
          <w:rFonts w:ascii="Times New Roman" w:hAnsi="Times New Roman"/>
          <w:b/>
          <w:sz w:val="24"/>
          <w:szCs w:val="24"/>
          <w:lang w:eastAsia="ru-RU"/>
        </w:rPr>
        <w:t>на 20</w:t>
      </w:r>
      <w:r w:rsidRPr="00FF49FF">
        <w:rPr>
          <w:rFonts w:ascii="Times New Roman" w:hAnsi="Times New Roman"/>
          <w:b/>
          <w:sz w:val="24"/>
          <w:szCs w:val="24"/>
          <w:lang w:eastAsia="ru-RU"/>
        </w:rPr>
        <w:t>2</w:t>
      </w:r>
      <w:r w:rsidR="00FF49FF" w:rsidRPr="00FF49FF">
        <w:rPr>
          <w:rFonts w:ascii="Times New Roman" w:hAnsi="Times New Roman"/>
          <w:b/>
          <w:sz w:val="24"/>
          <w:szCs w:val="24"/>
          <w:lang w:eastAsia="ru-RU"/>
        </w:rPr>
        <w:t>2-2024</w:t>
      </w:r>
      <w:r w:rsidR="008350A6" w:rsidRPr="00FF49FF">
        <w:rPr>
          <w:rFonts w:ascii="Times New Roman" w:hAnsi="Times New Roman"/>
          <w:b/>
          <w:sz w:val="24"/>
          <w:szCs w:val="24"/>
          <w:lang w:eastAsia="ru-RU"/>
        </w:rPr>
        <w:t xml:space="preserve"> год</w:t>
      </w:r>
      <w:r w:rsidR="00FF49FF" w:rsidRPr="00FF49FF">
        <w:rPr>
          <w:rFonts w:ascii="Times New Roman" w:hAnsi="Times New Roman"/>
          <w:b/>
          <w:sz w:val="24"/>
          <w:szCs w:val="24"/>
          <w:lang w:eastAsia="ru-RU"/>
        </w:rPr>
        <w:t>ы</w:t>
      </w:r>
      <w:r w:rsidR="008350A6" w:rsidRPr="00FF49FF">
        <w:rPr>
          <w:rFonts w:ascii="Times New Roman" w:hAnsi="Times New Roman"/>
          <w:b/>
          <w:sz w:val="24"/>
          <w:szCs w:val="24"/>
        </w:rPr>
        <w:t xml:space="preserve"> </w:t>
      </w:r>
      <w:r w:rsidR="006E32F7" w:rsidRPr="00FF49FF">
        <w:rPr>
          <w:rFonts w:ascii="Times New Roman" w:hAnsi="Times New Roman"/>
          <w:b/>
          <w:sz w:val="24"/>
          <w:szCs w:val="24"/>
        </w:rPr>
        <w:t>(</w:t>
      </w:r>
      <w:r w:rsidR="006E32F7" w:rsidRPr="00FF49FF">
        <w:rPr>
          <w:rFonts w:ascii="Times New Roman" w:hAnsi="Times New Roman"/>
          <w:b/>
          <w:sz w:val="24"/>
          <w:szCs w:val="24"/>
          <w:lang w:eastAsia="ru-RU"/>
        </w:rPr>
        <w:t>в рамках долгосрочного периода 20</w:t>
      </w:r>
      <w:r w:rsidRPr="00FF49FF">
        <w:rPr>
          <w:rFonts w:ascii="Times New Roman" w:hAnsi="Times New Roman"/>
          <w:b/>
          <w:sz w:val="24"/>
          <w:szCs w:val="24"/>
          <w:lang w:eastAsia="ru-RU"/>
        </w:rPr>
        <w:t>21</w:t>
      </w:r>
      <w:r w:rsidR="006E32F7" w:rsidRPr="00FF49FF">
        <w:rPr>
          <w:rFonts w:ascii="Times New Roman" w:hAnsi="Times New Roman"/>
          <w:b/>
          <w:sz w:val="24"/>
          <w:szCs w:val="24"/>
          <w:lang w:eastAsia="ru-RU"/>
        </w:rPr>
        <w:t>-20</w:t>
      </w:r>
      <w:r w:rsidRPr="00FF49FF">
        <w:rPr>
          <w:rFonts w:ascii="Times New Roman" w:hAnsi="Times New Roman"/>
          <w:b/>
          <w:sz w:val="24"/>
          <w:szCs w:val="24"/>
          <w:lang w:eastAsia="ru-RU"/>
        </w:rPr>
        <w:t>25</w:t>
      </w:r>
      <w:r w:rsidR="006E32F7" w:rsidRPr="00FF49FF">
        <w:rPr>
          <w:rFonts w:ascii="Times New Roman" w:hAnsi="Times New Roman"/>
          <w:b/>
          <w:sz w:val="24"/>
          <w:szCs w:val="24"/>
          <w:lang w:eastAsia="ru-RU"/>
        </w:rPr>
        <w:t xml:space="preserve"> </w:t>
      </w:r>
      <w:r w:rsidRPr="00FF49FF">
        <w:rPr>
          <w:rFonts w:ascii="Times New Roman" w:hAnsi="Times New Roman"/>
          <w:b/>
          <w:sz w:val="24"/>
          <w:szCs w:val="24"/>
          <w:lang w:eastAsia="ru-RU"/>
        </w:rPr>
        <w:t>годов</w:t>
      </w:r>
      <w:r w:rsidR="006E32F7" w:rsidRPr="00FF49FF">
        <w:rPr>
          <w:rFonts w:ascii="Times New Roman" w:hAnsi="Times New Roman"/>
          <w:sz w:val="24"/>
          <w:szCs w:val="24"/>
          <w:lang w:eastAsia="ru-RU"/>
        </w:rPr>
        <w:t>)</w:t>
      </w:r>
      <w:r w:rsidR="006E32F7" w:rsidRPr="00FF49FF">
        <w:rPr>
          <w:rFonts w:ascii="Times New Roman" w:hAnsi="Times New Roman"/>
          <w:b/>
          <w:sz w:val="24"/>
          <w:szCs w:val="24"/>
          <w:lang w:eastAsia="ru-RU"/>
        </w:rPr>
        <w:t xml:space="preserve"> </w:t>
      </w:r>
      <w:r w:rsidR="0080131F" w:rsidRPr="00FF49FF">
        <w:rPr>
          <w:rFonts w:ascii="Times New Roman" w:hAnsi="Times New Roman"/>
          <w:b/>
          <w:sz w:val="24"/>
          <w:szCs w:val="24"/>
          <w:lang w:eastAsia="ru-RU"/>
        </w:rPr>
        <w:t xml:space="preserve">необходимой валовой выручки территориальной сетевой организации </w:t>
      </w:r>
      <w:r w:rsidR="00FF49FF" w:rsidRPr="00FF49FF">
        <w:rPr>
          <w:rFonts w:ascii="Times New Roman" w:hAnsi="Times New Roman"/>
          <w:b/>
          <w:sz w:val="24"/>
          <w:szCs w:val="24"/>
          <w:lang w:eastAsia="ru-RU"/>
        </w:rPr>
        <w:t>ОО</w:t>
      </w:r>
      <w:r w:rsidR="0080131F" w:rsidRPr="00FF49FF">
        <w:rPr>
          <w:rFonts w:ascii="Times New Roman" w:hAnsi="Times New Roman"/>
          <w:b/>
          <w:sz w:val="24"/>
          <w:szCs w:val="24"/>
          <w:lang w:eastAsia="ru-RU"/>
        </w:rPr>
        <w:t>О</w:t>
      </w:r>
      <w:r w:rsidR="00DF7087" w:rsidRPr="00FF49FF">
        <w:rPr>
          <w:rFonts w:ascii="Times New Roman" w:hAnsi="Times New Roman"/>
          <w:b/>
          <w:sz w:val="24"/>
          <w:szCs w:val="24"/>
          <w:lang w:eastAsia="ru-RU"/>
        </w:rPr>
        <w:t> </w:t>
      </w:r>
      <w:r w:rsidR="0080131F" w:rsidRPr="00FF49FF">
        <w:rPr>
          <w:rFonts w:ascii="Times New Roman" w:hAnsi="Times New Roman"/>
          <w:b/>
          <w:sz w:val="24"/>
          <w:szCs w:val="24"/>
          <w:lang w:eastAsia="ru-RU"/>
        </w:rPr>
        <w:t>«</w:t>
      </w:r>
      <w:r w:rsidR="00FF49FF" w:rsidRPr="00FF49FF">
        <w:rPr>
          <w:rFonts w:ascii="Times New Roman" w:hAnsi="Times New Roman"/>
          <w:b/>
          <w:sz w:val="24"/>
          <w:szCs w:val="24"/>
          <w:lang w:eastAsia="ru-RU"/>
        </w:rPr>
        <w:t xml:space="preserve">Новосибирская городская </w:t>
      </w:r>
      <w:r w:rsidR="0080131F" w:rsidRPr="00FF49FF">
        <w:rPr>
          <w:rFonts w:ascii="Times New Roman" w:hAnsi="Times New Roman"/>
          <w:b/>
          <w:sz w:val="24"/>
          <w:szCs w:val="24"/>
          <w:lang w:eastAsia="ru-RU"/>
        </w:rPr>
        <w:t>сет</w:t>
      </w:r>
      <w:r w:rsidR="00FF49FF" w:rsidRPr="00FF49FF">
        <w:rPr>
          <w:rFonts w:ascii="Times New Roman" w:hAnsi="Times New Roman"/>
          <w:b/>
          <w:sz w:val="24"/>
          <w:szCs w:val="24"/>
          <w:lang w:eastAsia="ru-RU"/>
        </w:rPr>
        <w:t>евая компания</w:t>
      </w:r>
      <w:r w:rsidR="0080131F" w:rsidRPr="00FF49FF">
        <w:rPr>
          <w:rFonts w:ascii="Times New Roman" w:hAnsi="Times New Roman"/>
          <w:b/>
          <w:sz w:val="24"/>
          <w:szCs w:val="24"/>
          <w:lang w:eastAsia="ru-RU"/>
        </w:rPr>
        <w:t xml:space="preserve">» </w:t>
      </w:r>
      <w:r w:rsidR="00FB1B6D" w:rsidRPr="00FF49FF">
        <w:rPr>
          <w:rFonts w:ascii="Times New Roman" w:hAnsi="Times New Roman"/>
          <w:b/>
          <w:sz w:val="24"/>
          <w:szCs w:val="24"/>
          <w:lang w:eastAsia="ru-RU"/>
        </w:rPr>
        <w:t>и расходов на покупку потерь электрической энергии при ее передаче по электрическим сетям на 202</w:t>
      </w:r>
      <w:r w:rsidR="00FF49FF" w:rsidRPr="00FF49FF">
        <w:rPr>
          <w:rFonts w:ascii="Times New Roman" w:hAnsi="Times New Roman"/>
          <w:b/>
          <w:sz w:val="24"/>
          <w:szCs w:val="24"/>
          <w:lang w:eastAsia="ru-RU"/>
        </w:rPr>
        <w:t>4</w:t>
      </w:r>
      <w:r w:rsidR="00FB1B6D" w:rsidRPr="00FF49FF">
        <w:rPr>
          <w:rFonts w:ascii="Times New Roman" w:hAnsi="Times New Roman"/>
          <w:b/>
          <w:sz w:val="24"/>
          <w:szCs w:val="24"/>
          <w:lang w:eastAsia="ru-RU"/>
        </w:rPr>
        <w:t xml:space="preserve"> </w:t>
      </w:r>
      <w:r w:rsidR="00FF49FF" w:rsidRPr="00FF49FF">
        <w:rPr>
          <w:rFonts w:ascii="Times New Roman" w:hAnsi="Times New Roman"/>
          <w:b/>
          <w:sz w:val="24"/>
          <w:szCs w:val="24"/>
          <w:lang w:eastAsia="ru-RU"/>
        </w:rPr>
        <w:t>г</w:t>
      </w:r>
      <w:r w:rsidR="00FB1B6D" w:rsidRPr="00FF49FF">
        <w:rPr>
          <w:rFonts w:ascii="Times New Roman" w:hAnsi="Times New Roman"/>
          <w:b/>
          <w:sz w:val="24"/>
          <w:szCs w:val="24"/>
          <w:lang w:eastAsia="ru-RU"/>
        </w:rPr>
        <w:t xml:space="preserve">од </w:t>
      </w:r>
      <w:r w:rsidR="00F44CD4" w:rsidRPr="00FF49FF">
        <w:rPr>
          <w:rFonts w:ascii="Times New Roman" w:hAnsi="Times New Roman"/>
          <w:b/>
          <w:sz w:val="24"/>
          <w:szCs w:val="24"/>
          <w:lang w:eastAsia="ru-RU"/>
        </w:rPr>
        <w:t>во</w:t>
      </w:r>
      <w:r w:rsidR="0080131F" w:rsidRPr="00FF49FF">
        <w:rPr>
          <w:rFonts w:ascii="Times New Roman" w:hAnsi="Times New Roman"/>
          <w:b/>
          <w:sz w:val="24"/>
          <w:szCs w:val="24"/>
          <w:lang w:eastAsia="ru-RU"/>
        </w:rPr>
        <w:t xml:space="preserve"> исполнени</w:t>
      </w:r>
      <w:r w:rsidR="00F44CD4" w:rsidRPr="00FF49FF">
        <w:rPr>
          <w:rFonts w:ascii="Times New Roman" w:hAnsi="Times New Roman"/>
          <w:b/>
          <w:sz w:val="24"/>
          <w:szCs w:val="24"/>
          <w:lang w:eastAsia="ru-RU"/>
        </w:rPr>
        <w:t>е</w:t>
      </w:r>
      <w:r w:rsidR="0080131F" w:rsidRPr="00FF49FF">
        <w:rPr>
          <w:rFonts w:ascii="Times New Roman" w:hAnsi="Times New Roman"/>
          <w:b/>
          <w:sz w:val="24"/>
          <w:szCs w:val="24"/>
          <w:lang w:eastAsia="ru-RU"/>
        </w:rPr>
        <w:t xml:space="preserve"> предписания ФАС России от</w:t>
      </w:r>
      <w:r w:rsidR="0099175C" w:rsidRPr="00FF49FF">
        <w:rPr>
          <w:rFonts w:ascii="Times New Roman" w:hAnsi="Times New Roman"/>
          <w:b/>
          <w:sz w:val="24"/>
          <w:szCs w:val="24"/>
          <w:lang w:eastAsia="ru-RU"/>
        </w:rPr>
        <w:t xml:space="preserve"> </w:t>
      </w:r>
      <w:r w:rsidR="00893C87" w:rsidRPr="00FF49FF">
        <w:rPr>
          <w:rFonts w:ascii="Times New Roman" w:hAnsi="Times New Roman"/>
          <w:b/>
          <w:sz w:val="24"/>
          <w:szCs w:val="24"/>
          <w:lang w:eastAsia="ru-RU"/>
        </w:rPr>
        <w:t>24</w:t>
      </w:r>
      <w:r w:rsidR="0080131F" w:rsidRPr="00FF49FF">
        <w:rPr>
          <w:rFonts w:ascii="Times New Roman" w:hAnsi="Times New Roman"/>
          <w:b/>
          <w:sz w:val="24"/>
          <w:szCs w:val="24"/>
          <w:lang w:eastAsia="ru-RU"/>
        </w:rPr>
        <w:t>.0</w:t>
      </w:r>
      <w:r w:rsidR="00893C87" w:rsidRPr="00FF49FF">
        <w:rPr>
          <w:rFonts w:ascii="Times New Roman" w:hAnsi="Times New Roman"/>
          <w:b/>
          <w:sz w:val="24"/>
          <w:szCs w:val="24"/>
          <w:lang w:eastAsia="ru-RU"/>
        </w:rPr>
        <w:t>2</w:t>
      </w:r>
      <w:r w:rsidR="0080131F" w:rsidRPr="00FF49FF">
        <w:rPr>
          <w:rFonts w:ascii="Times New Roman" w:hAnsi="Times New Roman"/>
          <w:b/>
          <w:sz w:val="24"/>
          <w:szCs w:val="24"/>
          <w:lang w:eastAsia="ru-RU"/>
        </w:rPr>
        <w:t>.202</w:t>
      </w:r>
      <w:r w:rsidR="00893C87" w:rsidRPr="00FF49FF">
        <w:rPr>
          <w:rFonts w:ascii="Times New Roman" w:hAnsi="Times New Roman"/>
          <w:b/>
          <w:sz w:val="24"/>
          <w:szCs w:val="24"/>
          <w:lang w:eastAsia="ru-RU"/>
        </w:rPr>
        <w:t>5</w:t>
      </w:r>
      <w:r w:rsidR="0080131F" w:rsidRPr="00FF49FF">
        <w:rPr>
          <w:rFonts w:ascii="Times New Roman" w:hAnsi="Times New Roman"/>
          <w:b/>
          <w:sz w:val="24"/>
          <w:szCs w:val="24"/>
          <w:lang w:eastAsia="ru-RU"/>
        </w:rPr>
        <w:t xml:space="preserve"> №</w:t>
      </w:r>
      <w:r w:rsidR="00DE61EA" w:rsidRPr="00FF49FF">
        <w:rPr>
          <w:rFonts w:ascii="Times New Roman" w:hAnsi="Times New Roman"/>
          <w:b/>
          <w:sz w:val="24"/>
          <w:szCs w:val="24"/>
          <w:lang w:eastAsia="ru-RU"/>
        </w:rPr>
        <w:t> </w:t>
      </w:r>
      <w:r w:rsidR="0080131F" w:rsidRPr="00FF49FF">
        <w:rPr>
          <w:rFonts w:ascii="Times New Roman" w:hAnsi="Times New Roman"/>
          <w:b/>
          <w:sz w:val="24"/>
          <w:szCs w:val="24"/>
          <w:lang w:eastAsia="ru-RU"/>
        </w:rPr>
        <w:t>СП/</w:t>
      </w:r>
      <w:r w:rsidR="00893C87" w:rsidRPr="00FF49FF">
        <w:rPr>
          <w:rFonts w:ascii="Times New Roman" w:hAnsi="Times New Roman"/>
          <w:b/>
          <w:sz w:val="24"/>
          <w:szCs w:val="24"/>
          <w:lang w:eastAsia="ru-RU"/>
        </w:rPr>
        <w:t>15</w:t>
      </w:r>
      <w:r w:rsidR="00A075E4" w:rsidRPr="00FF49FF">
        <w:rPr>
          <w:rFonts w:ascii="Times New Roman" w:hAnsi="Times New Roman"/>
          <w:b/>
          <w:sz w:val="24"/>
          <w:szCs w:val="24"/>
          <w:lang w:eastAsia="ru-RU"/>
        </w:rPr>
        <w:t>686</w:t>
      </w:r>
      <w:r w:rsidR="0080131F" w:rsidRPr="00FF49FF">
        <w:rPr>
          <w:rFonts w:ascii="Times New Roman" w:hAnsi="Times New Roman"/>
          <w:b/>
          <w:sz w:val="24"/>
          <w:szCs w:val="24"/>
          <w:lang w:eastAsia="ru-RU"/>
        </w:rPr>
        <w:t>/2</w:t>
      </w:r>
      <w:r w:rsidR="00893C87" w:rsidRPr="00FF49FF">
        <w:rPr>
          <w:rFonts w:ascii="Times New Roman" w:hAnsi="Times New Roman"/>
          <w:b/>
          <w:sz w:val="24"/>
          <w:szCs w:val="24"/>
          <w:lang w:eastAsia="ru-RU"/>
        </w:rPr>
        <w:t>5</w:t>
      </w:r>
      <w:r w:rsidR="0080131F" w:rsidRPr="0009036A">
        <w:rPr>
          <w:rFonts w:ascii="Times New Roman" w:hAnsi="Times New Roman"/>
          <w:b/>
          <w:sz w:val="24"/>
          <w:szCs w:val="24"/>
          <w:lang w:eastAsia="ru-RU"/>
        </w:rPr>
        <w:t xml:space="preserve"> </w:t>
      </w:r>
    </w:p>
    <w:p w:rsidR="00893C87" w:rsidRPr="00D902D1" w:rsidRDefault="00893C87" w:rsidP="0080131F">
      <w:pPr>
        <w:spacing w:after="0" w:line="240" w:lineRule="auto"/>
        <w:jc w:val="center"/>
        <w:rPr>
          <w:rFonts w:ascii="Times New Roman" w:hAnsi="Times New Roman"/>
          <w:b/>
          <w:sz w:val="24"/>
          <w:szCs w:val="24"/>
          <w:lang w:eastAsia="ru-RU"/>
        </w:rPr>
      </w:pPr>
    </w:p>
    <w:p w:rsidR="009868A7" w:rsidRDefault="00B221D4" w:rsidP="00FF49FF">
      <w:pPr>
        <w:spacing w:after="0" w:line="240" w:lineRule="auto"/>
        <w:ind w:firstLine="709"/>
        <w:jc w:val="both"/>
        <w:rPr>
          <w:rFonts w:ascii="Times New Roman" w:hAnsi="Times New Roman"/>
          <w:sz w:val="24"/>
          <w:szCs w:val="24"/>
        </w:rPr>
      </w:pPr>
      <w:r w:rsidRPr="0080131F">
        <w:rPr>
          <w:rFonts w:ascii="Times New Roman" w:hAnsi="Times New Roman"/>
          <w:sz w:val="24"/>
          <w:szCs w:val="24"/>
        </w:rPr>
        <w:t xml:space="preserve">Во исполнение предписания ФАС России </w:t>
      </w:r>
      <w:r w:rsidR="00893C87" w:rsidRPr="00893C87">
        <w:rPr>
          <w:rFonts w:ascii="Times New Roman" w:hAnsi="Times New Roman"/>
          <w:sz w:val="24"/>
          <w:szCs w:val="24"/>
        </w:rPr>
        <w:t>24.02.2025 № СП/15</w:t>
      </w:r>
      <w:r w:rsidR="00FF49FF">
        <w:rPr>
          <w:rFonts w:ascii="Times New Roman" w:hAnsi="Times New Roman"/>
          <w:sz w:val="24"/>
          <w:szCs w:val="24"/>
        </w:rPr>
        <w:t>686</w:t>
      </w:r>
      <w:r w:rsidR="00893C87" w:rsidRPr="00893C87">
        <w:rPr>
          <w:rFonts w:ascii="Times New Roman" w:hAnsi="Times New Roman"/>
          <w:sz w:val="24"/>
          <w:szCs w:val="24"/>
        </w:rPr>
        <w:t xml:space="preserve">/25 </w:t>
      </w:r>
      <w:r w:rsidR="000764D1">
        <w:rPr>
          <w:rFonts w:ascii="Times New Roman" w:hAnsi="Times New Roman"/>
          <w:sz w:val="24"/>
          <w:szCs w:val="24"/>
        </w:rPr>
        <w:t>(</w:t>
      </w:r>
      <w:r w:rsidR="000764D1" w:rsidRPr="000764D1">
        <w:rPr>
          <w:rFonts w:ascii="Times New Roman" w:hAnsi="Times New Roman"/>
          <w:i/>
          <w:sz w:val="24"/>
          <w:szCs w:val="24"/>
        </w:rPr>
        <w:t>далее – Предписание ФАС России</w:t>
      </w:r>
      <w:r w:rsidR="000764D1">
        <w:rPr>
          <w:rFonts w:ascii="Times New Roman" w:hAnsi="Times New Roman"/>
          <w:sz w:val="24"/>
          <w:szCs w:val="24"/>
        </w:rPr>
        <w:t xml:space="preserve">) </w:t>
      </w:r>
      <w:r w:rsidR="00F10D49">
        <w:rPr>
          <w:rFonts w:ascii="Times New Roman" w:hAnsi="Times New Roman"/>
          <w:sz w:val="24"/>
          <w:szCs w:val="24"/>
        </w:rPr>
        <w:t xml:space="preserve">отделом регулирования электроэнергетики </w:t>
      </w:r>
      <w:r w:rsidR="0052042D" w:rsidRPr="0080131F">
        <w:rPr>
          <w:rFonts w:ascii="Times New Roman" w:hAnsi="Times New Roman"/>
          <w:sz w:val="24"/>
          <w:szCs w:val="24"/>
        </w:rPr>
        <w:t>департамент</w:t>
      </w:r>
      <w:r w:rsidR="00F10D49">
        <w:rPr>
          <w:rFonts w:ascii="Times New Roman" w:hAnsi="Times New Roman"/>
          <w:sz w:val="24"/>
          <w:szCs w:val="24"/>
        </w:rPr>
        <w:t>а</w:t>
      </w:r>
      <w:r w:rsidR="0052042D" w:rsidRPr="0080131F">
        <w:rPr>
          <w:rFonts w:ascii="Times New Roman" w:hAnsi="Times New Roman"/>
          <w:sz w:val="24"/>
          <w:szCs w:val="24"/>
        </w:rPr>
        <w:t xml:space="preserve"> </w:t>
      </w:r>
      <w:r w:rsidR="0080131F" w:rsidRPr="0080131F">
        <w:rPr>
          <w:rFonts w:ascii="Times New Roman" w:hAnsi="Times New Roman"/>
          <w:sz w:val="24"/>
          <w:szCs w:val="24"/>
        </w:rPr>
        <w:t xml:space="preserve">по тарифам Новосибирской области (далее – департамент) </w:t>
      </w:r>
      <w:r w:rsidR="0052042D" w:rsidRPr="0080131F">
        <w:rPr>
          <w:rFonts w:ascii="Times New Roman" w:hAnsi="Times New Roman"/>
          <w:sz w:val="24"/>
          <w:szCs w:val="24"/>
        </w:rPr>
        <w:t xml:space="preserve">проведен </w:t>
      </w:r>
      <w:r w:rsidR="00980E63">
        <w:rPr>
          <w:rFonts w:ascii="Times New Roman" w:hAnsi="Times New Roman"/>
          <w:sz w:val="24"/>
          <w:szCs w:val="24"/>
        </w:rPr>
        <w:t>дополнительный анализ и расчет расходов (</w:t>
      </w:r>
      <w:r w:rsidR="00FF49FF">
        <w:rPr>
          <w:rFonts w:ascii="Times New Roman" w:hAnsi="Times New Roman"/>
          <w:sz w:val="24"/>
          <w:szCs w:val="24"/>
        </w:rPr>
        <w:t>пересмотр</w:t>
      </w:r>
      <w:r w:rsidR="00980E63">
        <w:rPr>
          <w:rFonts w:ascii="Times New Roman" w:hAnsi="Times New Roman"/>
          <w:sz w:val="24"/>
          <w:szCs w:val="24"/>
        </w:rPr>
        <w:t>)</w:t>
      </w:r>
      <w:r w:rsidR="00FF49FF">
        <w:rPr>
          <w:rFonts w:ascii="Times New Roman" w:hAnsi="Times New Roman"/>
          <w:sz w:val="24"/>
          <w:szCs w:val="24"/>
        </w:rPr>
        <w:t>:</w:t>
      </w:r>
    </w:p>
    <w:p w:rsidR="00553E39" w:rsidRPr="00A57DAF" w:rsidRDefault="00715813" w:rsidP="009E5F73">
      <w:pPr>
        <w:spacing w:after="0" w:line="240" w:lineRule="auto"/>
        <w:ind w:firstLine="709"/>
        <w:jc w:val="both"/>
        <w:rPr>
          <w:rFonts w:ascii="Times New Roman" w:hAnsi="Times New Roman"/>
          <w:sz w:val="24"/>
          <w:szCs w:val="24"/>
        </w:rPr>
      </w:pPr>
      <w:r>
        <w:rPr>
          <w:rFonts w:ascii="Times New Roman" w:hAnsi="Times New Roman"/>
          <w:sz w:val="24"/>
          <w:szCs w:val="24"/>
        </w:rPr>
        <w:t>-</w:t>
      </w:r>
      <w:r w:rsidR="00553E39" w:rsidRPr="00A57DAF">
        <w:rPr>
          <w:rFonts w:ascii="Times New Roman" w:hAnsi="Times New Roman"/>
          <w:sz w:val="24"/>
          <w:szCs w:val="24"/>
        </w:rPr>
        <w:t xml:space="preserve">размера </w:t>
      </w:r>
      <w:r w:rsidR="007D77BA" w:rsidRPr="00A57DAF">
        <w:rPr>
          <w:rFonts w:ascii="Times New Roman" w:hAnsi="Times New Roman"/>
          <w:sz w:val="24"/>
          <w:szCs w:val="24"/>
        </w:rPr>
        <w:t>расходов по арендной плате</w:t>
      </w:r>
      <w:r w:rsidR="00DC0A25">
        <w:rPr>
          <w:rFonts w:ascii="Times New Roman" w:hAnsi="Times New Roman"/>
          <w:sz w:val="24"/>
          <w:szCs w:val="24"/>
        </w:rPr>
        <w:t xml:space="preserve"> объектов электросетевого хозяйства, </w:t>
      </w:r>
      <w:r w:rsidR="00553E39" w:rsidRPr="00A57DAF">
        <w:rPr>
          <w:rFonts w:ascii="Times New Roman" w:hAnsi="Times New Roman"/>
          <w:sz w:val="24"/>
          <w:szCs w:val="24"/>
        </w:rPr>
        <w:t xml:space="preserve">учтенных </w:t>
      </w:r>
      <w:r w:rsidR="00DC0A25">
        <w:rPr>
          <w:rFonts w:ascii="Times New Roman" w:hAnsi="Times New Roman"/>
          <w:sz w:val="24"/>
          <w:szCs w:val="24"/>
        </w:rPr>
        <w:t xml:space="preserve">по статье «Плата за аренду имущества и </w:t>
      </w:r>
      <w:r w:rsidR="00FF49FF">
        <w:rPr>
          <w:rFonts w:ascii="Times New Roman" w:hAnsi="Times New Roman"/>
          <w:sz w:val="24"/>
          <w:szCs w:val="24"/>
        </w:rPr>
        <w:t>лизинг</w:t>
      </w:r>
      <w:r w:rsidR="00DC0A25">
        <w:rPr>
          <w:rFonts w:ascii="Times New Roman" w:hAnsi="Times New Roman"/>
          <w:sz w:val="24"/>
          <w:szCs w:val="24"/>
        </w:rPr>
        <w:t xml:space="preserve">» </w:t>
      </w:r>
      <w:r w:rsidR="00553E39" w:rsidRPr="00A57DAF">
        <w:rPr>
          <w:rFonts w:ascii="Times New Roman" w:hAnsi="Times New Roman"/>
          <w:sz w:val="24"/>
          <w:szCs w:val="24"/>
        </w:rPr>
        <w:t xml:space="preserve">в с составе необходимой валовой выручки </w:t>
      </w:r>
      <w:r w:rsidR="00FF49FF">
        <w:rPr>
          <w:rFonts w:ascii="Times New Roman" w:hAnsi="Times New Roman"/>
          <w:sz w:val="24"/>
          <w:szCs w:val="24"/>
        </w:rPr>
        <w:t>ОО</w:t>
      </w:r>
      <w:r w:rsidR="00553E39" w:rsidRPr="00A57DAF">
        <w:rPr>
          <w:rFonts w:ascii="Times New Roman" w:hAnsi="Times New Roman"/>
          <w:sz w:val="24"/>
          <w:szCs w:val="24"/>
        </w:rPr>
        <w:t>О «</w:t>
      </w:r>
      <w:r w:rsidR="00FF49FF">
        <w:rPr>
          <w:rFonts w:ascii="Times New Roman" w:hAnsi="Times New Roman"/>
          <w:sz w:val="24"/>
          <w:szCs w:val="24"/>
        </w:rPr>
        <w:t>НГСК</w:t>
      </w:r>
      <w:r w:rsidR="00553E39" w:rsidRPr="00A57DAF">
        <w:rPr>
          <w:rFonts w:ascii="Times New Roman" w:hAnsi="Times New Roman"/>
          <w:sz w:val="24"/>
          <w:szCs w:val="24"/>
        </w:rPr>
        <w:t>» на 20</w:t>
      </w:r>
      <w:r w:rsidR="00DC0A25">
        <w:rPr>
          <w:rFonts w:ascii="Times New Roman" w:hAnsi="Times New Roman"/>
          <w:sz w:val="24"/>
          <w:szCs w:val="24"/>
        </w:rPr>
        <w:t>2</w:t>
      </w:r>
      <w:r w:rsidR="00FF49FF">
        <w:rPr>
          <w:rFonts w:ascii="Times New Roman" w:hAnsi="Times New Roman"/>
          <w:sz w:val="24"/>
          <w:szCs w:val="24"/>
        </w:rPr>
        <w:t>2</w:t>
      </w:r>
      <w:r w:rsidR="00553E39" w:rsidRPr="00A57DAF">
        <w:rPr>
          <w:rFonts w:ascii="Times New Roman" w:hAnsi="Times New Roman"/>
          <w:sz w:val="24"/>
          <w:szCs w:val="24"/>
        </w:rPr>
        <w:t>-20</w:t>
      </w:r>
      <w:r w:rsidR="00DC0A25">
        <w:rPr>
          <w:rFonts w:ascii="Times New Roman" w:hAnsi="Times New Roman"/>
          <w:sz w:val="24"/>
          <w:szCs w:val="24"/>
        </w:rPr>
        <w:t>24</w:t>
      </w:r>
      <w:r w:rsidR="00553E39" w:rsidRPr="00A57DAF">
        <w:rPr>
          <w:rFonts w:ascii="Times New Roman" w:hAnsi="Times New Roman"/>
          <w:sz w:val="24"/>
          <w:szCs w:val="24"/>
        </w:rPr>
        <w:t xml:space="preserve"> годы</w:t>
      </w:r>
      <w:r w:rsidR="007D77BA" w:rsidRPr="00A57DAF">
        <w:rPr>
          <w:rFonts w:ascii="Times New Roman" w:hAnsi="Times New Roman"/>
          <w:sz w:val="24"/>
          <w:szCs w:val="24"/>
        </w:rPr>
        <w:t xml:space="preserve"> (с </w:t>
      </w:r>
      <w:r w:rsidR="00F959D2">
        <w:rPr>
          <w:rFonts w:ascii="Times New Roman" w:hAnsi="Times New Roman"/>
          <w:sz w:val="24"/>
          <w:szCs w:val="24"/>
        </w:rPr>
        <w:t xml:space="preserve">учетом замечаний, изложенных в </w:t>
      </w:r>
      <w:r w:rsidR="00DC0A25">
        <w:rPr>
          <w:rFonts w:ascii="Times New Roman" w:hAnsi="Times New Roman"/>
          <w:sz w:val="24"/>
          <w:szCs w:val="24"/>
        </w:rPr>
        <w:t>Предписа</w:t>
      </w:r>
      <w:r w:rsidR="007D77BA" w:rsidRPr="00A57DAF">
        <w:rPr>
          <w:rFonts w:ascii="Times New Roman" w:hAnsi="Times New Roman"/>
          <w:sz w:val="24"/>
          <w:szCs w:val="24"/>
        </w:rPr>
        <w:t>нии ФАС России);</w:t>
      </w:r>
    </w:p>
    <w:p w:rsidR="007D77BA" w:rsidRDefault="007D77BA" w:rsidP="009E5F73">
      <w:pPr>
        <w:spacing w:after="0" w:line="240" w:lineRule="auto"/>
        <w:ind w:firstLine="709"/>
        <w:jc w:val="both"/>
        <w:rPr>
          <w:rFonts w:ascii="Times New Roman" w:hAnsi="Times New Roman"/>
          <w:sz w:val="24"/>
          <w:szCs w:val="24"/>
        </w:rPr>
      </w:pPr>
      <w:r w:rsidRPr="00A57DAF">
        <w:rPr>
          <w:rFonts w:ascii="Times New Roman" w:hAnsi="Times New Roman"/>
          <w:sz w:val="24"/>
          <w:szCs w:val="24"/>
        </w:rPr>
        <w:t>-размера корректиров</w:t>
      </w:r>
      <w:r w:rsidR="00FF49FF">
        <w:rPr>
          <w:rFonts w:ascii="Times New Roman" w:hAnsi="Times New Roman"/>
          <w:sz w:val="24"/>
          <w:szCs w:val="24"/>
        </w:rPr>
        <w:t>ки необходимой валовой выручки ОО</w:t>
      </w:r>
      <w:r w:rsidRPr="00A57DAF">
        <w:rPr>
          <w:rFonts w:ascii="Times New Roman" w:hAnsi="Times New Roman"/>
          <w:sz w:val="24"/>
          <w:szCs w:val="24"/>
        </w:rPr>
        <w:t>О «</w:t>
      </w:r>
      <w:r w:rsidR="00FF49FF">
        <w:rPr>
          <w:rFonts w:ascii="Times New Roman" w:hAnsi="Times New Roman"/>
          <w:sz w:val="24"/>
          <w:szCs w:val="24"/>
        </w:rPr>
        <w:t>НГСК</w:t>
      </w:r>
      <w:r w:rsidRPr="00A57DAF">
        <w:rPr>
          <w:rFonts w:ascii="Times New Roman" w:hAnsi="Times New Roman"/>
          <w:sz w:val="24"/>
          <w:szCs w:val="24"/>
        </w:rPr>
        <w:t>» на 20</w:t>
      </w:r>
      <w:r w:rsidR="00612372" w:rsidRPr="00A57DAF">
        <w:rPr>
          <w:rFonts w:ascii="Times New Roman" w:hAnsi="Times New Roman"/>
          <w:sz w:val="24"/>
          <w:szCs w:val="24"/>
        </w:rPr>
        <w:t>2</w:t>
      </w:r>
      <w:r w:rsidR="00715813">
        <w:rPr>
          <w:rFonts w:ascii="Times New Roman" w:hAnsi="Times New Roman"/>
          <w:sz w:val="24"/>
          <w:szCs w:val="24"/>
        </w:rPr>
        <w:t>2-2024</w:t>
      </w:r>
      <w:r w:rsidRPr="00A57DAF">
        <w:rPr>
          <w:rFonts w:ascii="Times New Roman" w:hAnsi="Times New Roman"/>
          <w:sz w:val="24"/>
          <w:szCs w:val="24"/>
        </w:rPr>
        <w:t xml:space="preserve"> год</w:t>
      </w:r>
      <w:r w:rsidR="00715813">
        <w:rPr>
          <w:rFonts w:ascii="Times New Roman" w:hAnsi="Times New Roman"/>
          <w:sz w:val="24"/>
          <w:szCs w:val="24"/>
        </w:rPr>
        <w:t>ы</w:t>
      </w:r>
      <w:r w:rsidRPr="00A57DAF">
        <w:rPr>
          <w:rFonts w:ascii="Times New Roman" w:hAnsi="Times New Roman"/>
          <w:sz w:val="24"/>
          <w:szCs w:val="24"/>
        </w:rPr>
        <w:t xml:space="preserve"> в связи с </w:t>
      </w:r>
      <w:r w:rsidR="00715813">
        <w:rPr>
          <w:rFonts w:ascii="Times New Roman" w:hAnsi="Times New Roman"/>
          <w:sz w:val="24"/>
          <w:szCs w:val="24"/>
        </w:rPr>
        <w:t xml:space="preserve">пересмотром расходов по арендной плате </w:t>
      </w:r>
      <w:r w:rsidR="00415C64" w:rsidRPr="00415C64">
        <w:rPr>
          <w:rFonts w:ascii="Times New Roman" w:hAnsi="Times New Roman"/>
          <w:sz w:val="24"/>
          <w:szCs w:val="24"/>
        </w:rPr>
        <w:t xml:space="preserve">объектов электросетевого хозяйства </w:t>
      </w:r>
      <w:r w:rsidR="00715813">
        <w:rPr>
          <w:rFonts w:ascii="Times New Roman" w:hAnsi="Times New Roman"/>
          <w:sz w:val="24"/>
          <w:szCs w:val="24"/>
        </w:rPr>
        <w:t xml:space="preserve">на 2023-2024 годы </w:t>
      </w:r>
      <w:r w:rsidR="004A596F">
        <w:rPr>
          <w:rFonts w:ascii="Times New Roman" w:hAnsi="Times New Roman"/>
          <w:sz w:val="24"/>
          <w:szCs w:val="24"/>
        </w:rPr>
        <w:t>(с учетом замечаний, изложен</w:t>
      </w:r>
      <w:r w:rsidR="00F959D2">
        <w:rPr>
          <w:rFonts w:ascii="Times New Roman" w:hAnsi="Times New Roman"/>
          <w:sz w:val="24"/>
          <w:szCs w:val="24"/>
        </w:rPr>
        <w:t>ных в р</w:t>
      </w:r>
      <w:r w:rsidR="004A596F">
        <w:rPr>
          <w:rFonts w:ascii="Times New Roman" w:hAnsi="Times New Roman"/>
          <w:sz w:val="24"/>
          <w:szCs w:val="24"/>
        </w:rPr>
        <w:t>ешении ФАС России)</w:t>
      </w:r>
      <w:r>
        <w:rPr>
          <w:rFonts w:ascii="Times New Roman" w:hAnsi="Times New Roman"/>
          <w:sz w:val="24"/>
          <w:szCs w:val="24"/>
        </w:rPr>
        <w:t>;</w:t>
      </w:r>
    </w:p>
    <w:p w:rsidR="00FF49FF" w:rsidRDefault="00FF49FF" w:rsidP="009E5F73">
      <w:pPr>
        <w:spacing w:after="0" w:line="240" w:lineRule="auto"/>
        <w:ind w:firstLine="709"/>
        <w:jc w:val="both"/>
        <w:rPr>
          <w:rFonts w:ascii="Times New Roman" w:hAnsi="Times New Roman"/>
          <w:sz w:val="24"/>
          <w:szCs w:val="24"/>
        </w:rPr>
      </w:pPr>
      <w:r>
        <w:rPr>
          <w:rFonts w:ascii="Times New Roman" w:hAnsi="Times New Roman"/>
          <w:sz w:val="24"/>
          <w:szCs w:val="24"/>
        </w:rPr>
        <w:t>-размера расходов по статье «Прочие неподконтрольные расходы»</w:t>
      </w:r>
      <w:r w:rsidR="00980E63">
        <w:rPr>
          <w:rFonts w:ascii="Times New Roman" w:hAnsi="Times New Roman"/>
          <w:sz w:val="24"/>
          <w:szCs w:val="24"/>
        </w:rPr>
        <w:t>;</w:t>
      </w:r>
    </w:p>
    <w:p w:rsidR="00FF49FF" w:rsidRDefault="007D77BA" w:rsidP="009E5F73">
      <w:pPr>
        <w:spacing w:after="0" w:line="240" w:lineRule="auto"/>
        <w:ind w:firstLine="709"/>
        <w:jc w:val="both"/>
        <w:rPr>
          <w:rFonts w:ascii="Times New Roman" w:hAnsi="Times New Roman"/>
          <w:sz w:val="24"/>
          <w:szCs w:val="24"/>
        </w:rPr>
      </w:pPr>
      <w:r>
        <w:rPr>
          <w:rFonts w:ascii="Times New Roman" w:hAnsi="Times New Roman"/>
          <w:sz w:val="24"/>
          <w:szCs w:val="24"/>
        </w:rPr>
        <w:t>-размера</w:t>
      </w:r>
      <w:r w:rsidRPr="007D77BA">
        <w:rPr>
          <w:rFonts w:ascii="Times New Roman" w:hAnsi="Times New Roman"/>
          <w:sz w:val="24"/>
          <w:szCs w:val="24"/>
        </w:rPr>
        <w:t xml:space="preserve"> </w:t>
      </w:r>
      <w:r>
        <w:rPr>
          <w:rFonts w:ascii="Times New Roman" w:hAnsi="Times New Roman"/>
          <w:sz w:val="24"/>
          <w:szCs w:val="24"/>
        </w:rPr>
        <w:t xml:space="preserve">необходимой валовой выручки </w:t>
      </w:r>
      <w:r w:rsidR="00FF49FF" w:rsidRPr="00FF49FF">
        <w:rPr>
          <w:rFonts w:ascii="Times New Roman" w:hAnsi="Times New Roman"/>
          <w:sz w:val="24"/>
          <w:szCs w:val="24"/>
        </w:rPr>
        <w:t xml:space="preserve">ООО «НГСК» </w:t>
      </w:r>
      <w:r>
        <w:rPr>
          <w:rFonts w:ascii="Times New Roman" w:hAnsi="Times New Roman"/>
          <w:sz w:val="24"/>
          <w:szCs w:val="24"/>
        </w:rPr>
        <w:t>в части содержания сетей на 20</w:t>
      </w:r>
      <w:r w:rsidR="009D68B4">
        <w:rPr>
          <w:rFonts w:ascii="Times New Roman" w:hAnsi="Times New Roman"/>
          <w:sz w:val="24"/>
          <w:szCs w:val="24"/>
        </w:rPr>
        <w:t>2</w:t>
      </w:r>
      <w:r w:rsidR="00FF49FF">
        <w:rPr>
          <w:rFonts w:ascii="Times New Roman" w:hAnsi="Times New Roman"/>
          <w:sz w:val="24"/>
          <w:szCs w:val="24"/>
        </w:rPr>
        <w:t>2</w:t>
      </w:r>
      <w:r w:rsidR="009D68B4">
        <w:rPr>
          <w:rFonts w:ascii="Times New Roman" w:hAnsi="Times New Roman"/>
          <w:sz w:val="24"/>
          <w:szCs w:val="24"/>
        </w:rPr>
        <w:t>-2025</w:t>
      </w:r>
      <w:r>
        <w:rPr>
          <w:rFonts w:ascii="Times New Roman" w:hAnsi="Times New Roman"/>
          <w:sz w:val="24"/>
          <w:szCs w:val="24"/>
        </w:rPr>
        <w:t xml:space="preserve"> годы, </w:t>
      </w:r>
    </w:p>
    <w:p w:rsidR="007B0FBE" w:rsidRDefault="007D77BA" w:rsidP="009E5F73">
      <w:pPr>
        <w:spacing w:after="0" w:line="240" w:lineRule="auto"/>
        <w:ind w:firstLine="709"/>
        <w:jc w:val="both"/>
        <w:rPr>
          <w:rFonts w:ascii="Times New Roman" w:hAnsi="Times New Roman"/>
          <w:sz w:val="24"/>
          <w:szCs w:val="24"/>
        </w:rPr>
      </w:pPr>
      <w:r>
        <w:rPr>
          <w:rFonts w:ascii="Times New Roman" w:hAnsi="Times New Roman"/>
          <w:sz w:val="24"/>
          <w:szCs w:val="24"/>
        </w:rPr>
        <w:t xml:space="preserve">-размера </w:t>
      </w:r>
      <w:r w:rsidR="007B0FBE" w:rsidRPr="007B0FBE">
        <w:rPr>
          <w:rFonts w:ascii="Times New Roman" w:hAnsi="Times New Roman"/>
          <w:sz w:val="24"/>
          <w:szCs w:val="24"/>
        </w:rPr>
        <w:t>расходов на покупку потерь электрической энергии при ее передаче по электрическим сетям, у</w:t>
      </w:r>
      <w:r w:rsidR="007B0FBE">
        <w:rPr>
          <w:rFonts w:ascii="Times New Roman" w:hAnsi="Times New Roman"/>
          <w:sz w:val="24"/>
          <w:szCs w:val="24"/>
        </w:rPr>
        <w:t>читываемого</w:t>
      </w:r>
      <w:r w:rsidR="007B0FBE" w:rsidRPr="007B0FBE">
        <w:rPr>
          <w:rFonts w:ascii="Times New Roman" w:hAnsi="Times New Roman"/>
          <w:sz w:val="24"/>
          <w:szCs w:val="24"/>
        </w:rPr>
        <w:t xml:space="preserve"> в составе необходимой валовой выручки АО «РЭС» на </w:t>
      </w:r>
      <w:r w:rsidR="00FF49FF">
        <w:rPr>
          <w:rFonts w:ascii="Times New Roman" w:hAnsi="Times New Roman"/>
          <w:sz w:val="24"/>
          <w:szCs w:val="24"/>
        </w:rPr>
        <w:t>2022-</w:t>
      </w:r>
      <w:r w:rsidR="007B0FBE" w:rsidRPr="007B0FBE">
        <w:rPr>
          <w:rFonts w:ascii="Times New Roman" w:hAnsi="Times New Roman"/>
          <w:sz w:val="24"/>
          <w:szCs w:val="24"/>
        </w:rPr>
        <w:t>202</w:t>
      </w:r>
      <w:r w:rsidR="00FF49FF">
        <w:rPr>
          <w:rFonts w:ascii="Times New Roman" w:hAnsi="Times New Roman"/>
          <w:sz w:val="24"/>
          <w:szCs w:val="24"/>
        </w:rPr>
        <w:t>4</w:t>
      </w:r>
      <w:r w:rsidR="007B0FBE" w:rsidRPr="007B0FBE">
        <w:rPr>
          <w:rFonts w:ascii="Times New Roman" w:hAnsi="Times New Roman"/>
          <w:sz w:val="24"/>
          <w:szCs w:val="24"/>
        </w:rPr>
        <w:t xml:space="preserve"> год</w:t>
      </w:r>
      <w:r w:rsidR="00FF49FF">
        <w:rPr>
          <w:rFonts w:ascii="Times New Roman" w:hAnsi="Times New Roman"/>
          <w:sz w:val="24"/>
          <w:szCs w:val="24"/>
        </w:rPr>
        <w:t>ы</w:t>
      </w:r>
      <w:r w:rsidR="00103438">
        <w:rPr>
          <w:rFonts w:ascii="Times New Roman" w:hAnsi="Times New Roman"/>
          <w:sz w:val="24"/>
          <w:szCs w:val="24"/>
        </w:rPr>
        <w:t>.</w:t>
      </w:r>
    </w:p>
    <w:p w:rsidR="007150DD" w:rsidRDefault="007150DD" w:rsidP="00F94FE2">
      <w:pPr>
        <w:tabs>
          <w:tab w:val="left" w:pos="720"/>
        </w:tabs>
        <w:spacing w:after="0" w:line="240" w:lineRule="auto"/>
        <w:jc w:val="both"/>
        <w:rPr>
          <w:rFonts w:ascii="Times New Roman" w:hAnsi="Times New Roman"/>
          <w:sz w:val="24"/>
          <w:szCs w:val="24"/>
          <w:lang w:eastAsia="ru-RU"/>
        </w:rPr>
      </w:pPr>
    </w:p>
    <w:p w:rsidR="00250397" w:rsidRDefault="00250397" w:rsidP="00103438">
      <w:pPr>
        <w:autoSpaceDE w:val="0"/>
        <w:autoSpaceDN w:val="0"/>
        <w:adjustRightInd w:val="0"/>
        <w:spacing w:after="0"/>
        <w:ind w:firstLine="709"/>
        <w:jc w:val="both"/>
        <w:rPr>
          <w:rFonts w:ascii="Times New Roman" w:hAnsi="Times New Roman"/>
          <w:b/>
          <w:sz w:val="24"/>
          <w:szCs w:val="24"/>
        </w:rPr>
      </w:pPr>
      <w:r w:rsidRPr="00250397">
        <w:rPr>
          <w:rFonts w:ascii="Times New Roman" w:hAnsi="Times New Roman"/>
          <w:b/>
          <w:sz w:val="24"/>
          <w:szCs w:val="24"/>
        </w:rPr>
        <w:t>Раздел 1. Соответствие критериям отнесения владельцев объектов электросет</w:t>
      </w:r>
      <w:r>
        <w:rPr>
          <w:rFonts w:ascii="Times New Roman" w:hAnsi="Times New Roman"/>
          <w:b/>
          <w:sz w:val="24"/>
          <w:szCs w:val="24"/>
        </w:rPr>
        <w:t>ево</w:t>
      </w:r>
      <w:r w:rsidRPr="00250397">
        <w:rPr>
          <w:rFonts w:ascii="Times New Roman" w:hAnsi="Times New Roman"/>
          <w:b/>
          <w:sz w:val="24"/>
          <w:szCs w:val="24"/>
        </w:rPr>
        <w:t>го хозяйства к территориальным сетевым организациям на 2024 год</w:t>
      </w:r>
    </w:p>
    <w:p w:rsidR="00103438" w:rsidRPr="00103438" w:rsidRDefault="00103438" w:rsidP="00103438">
      <w:pPr>
        <w:autoSpaceDE w:val="0"/>
        <w:autoSpaceDN w:val="0"/>
        <w:adjustRightInd w:val="0"/>
        <w:spacing w:after="0"/>
        <w:ind w:firstLine="709"/>
        <w:jc w:val="both"/>
        <w:rPr>
          <w:rFonts w:ascii="Times New Roman" w:hAnsi="Times New Roman"/>
          <w:sz w:val="24"/>
          <w:szCs w:val="24"/>
        </w:rPr>
      </w:pPr>
      <w:r w:rsidRPr="00103438">
        <w:rPr>
          <w:rFonts w:ascii="Times New Roman" w:hAnsi="Times New Roman"/>
          <w:sz w:val="24"/>
          <w:szCs w:val="24"/>
        </w:rPr>
        <w:t>Департаментом проведен анализ использования объектов электросетевого хозяйства в регулируемом виде деятельности (процессе передачи электрической энергии по сетям организации) в соответствии с заключённым с АО «РЭС» (котлодержателем) договором №УЭ-а-69-20-01780 от 12.10. 2020г оказания услуг по передаче электрической энергии (с учётом доп. соглашений №№001-098) и Приложения №2 к договору: «Перечень точек приема, поставок и средств измерений электрической энергии», а так же представленными схемами соединений электрической сети с обозначением трансформаторных и иных подстанций, а также линий электропередачи. Основание права владения объектами электросетевого хозяйства подтверждено предоставленными договорами купли-продажи, инвентарными карточками (ОС-6), выписками из ЕГРН, заключениями кадастровых инженеров, доходными и расходными договорами по последней миле, бухгалтерскими документами (счета-фактуры, акты), подтверждающими фактически понесенные затраты по строительству последней мили.</w:t>
      </w:r>
    </w:p>
    <w:p w:rsidR="00103438" w:rsidRPr="00103438" w:rsidRDefault="00103438" w:rsidP="00103438">
      <w:pPr>
        <w:spacing w:after="0"/>
        <w:jc w:val="both"/>
        <w:rPr>
          <w:rFonts w:ascii="Times New Roman" w:hAnsi="Times New Roman"/>
          <w:sz w:val="24"/>
          <w:szCs w:val="24"/>
        </w:rPr>
      </w:pPr>
      <w:r w:rsidRPr="00103438">
        <w:rPr>
          <w:rFonts w:ascii="Times New Roman" w:hAnsi="Times New Roman"/>
          <w:sz w:val="24"/>
          <w:szCs w:val="24"/>
        </w:rPr>
        <w:tab/>
        <w:t>Из проведенного анализа следует,</w:t>
      </w:r>
      <w:r w:rsidRPr="00103438">
        <w:rPr>
          <w:rFonts w:ascii="Times New Roman" w:eastAsia="Times New Roman" w:hAnsi="Times New Roman"/>
          <w:sz w:val="24"/>
          <w:szCs w:val="24"/>
          <w:lang w:eastAsia="ru-RU"/>
        </w:rPr>
        <w:t xml:space="preserve"> что объекты электросетевого хозяйства, которыми ООО «НГСК» владеет на праве собственности, используются </w:t>
      </w:r>
      <w:r w:rsidRPr="00103438">
        <w:rPr>
          <w:rFonts w:ascii="Times New Roman" w:hAnsi="Times New Roman"/>
          <w:sz w:val="24"/>
          <w:szCs w:val="24"/>
        </w:rPr>
        <w:t>в регулируемом виде деятельности (процессе передачи электрической энергии по сетям организации) в соответствии с заключённым с АО «РЭС» (котлодержателем) договором №УЭ-а-69-20-01780 от 12.10. 2020г оказания услуг по передаче электрической энергии (с учётом доп. соглашений №№001-098) и Приложения №2 к договору: «Перечень точек приема, поставок и средств измерений электрической энергии», а именно</w:t>
      </w:r>
      <w:r w:rsidRPr="00103438">
        <w:rPr>
          <w:rFonts w:ascii="Times New Roman" w:eastAsia="Times New Roman" w:hAnsi="Times New Roman"/>
          <w:sz w:val="24"/>
          <w:szCs w:val="24"/>
          <w:lang w:eastAsia="ru-RU"/>
        </w:rPr>
        <w:t>:</w:t>
      </w:r>
    </w:p>
    <w:p w:rsidR="00103438" w:rsidRPr="00103438" w:rsidRDefault="00103438" w:rsidP="00103438">
      <w:pPr>
        <w:spacing w:after="0"/>
        <w:ind w:firstLine="709"/>
        <w:jc w:val="both"/>
        <w:rPr>
          <w:rFonts w:ascii="Times New Roman" w:eastAsia="Times New Roman" w:hAnsi="Times New Roman"/>
          <w:sz w:val="24"/>
          <w:szCs w:val="24"/>
          <w:lang w:eastAsia="ru-RU"/>
        </w:rPr>
      </w:pPr>
      <w:r w:rsidRPr="00103438">
        <w:rPr>
          <w:rFonts w:ascii="Times New Roman" w:eastAsia="Times New Roman" w:hAnsi="Times New Roman"/>
          <w:sz w:val="24"/>
          <w:szCs w:val="24"/>
          <w:lang w:eastAsia="ru-RU"/>
        </w:rPr>
        <w:t xml:space="preserve">1. ООО «НГСК» владеет на праве собственности трансформаторными подстанциями с установленными силовыми трансформаторами, расположенными и используемыми для осуществления регулируемой деятельности в административных границах Новосибирской области, сумма номинальных мощностей которых составляет 165,99 МВА, что соответствует пункту 1 Критериев. </w:t>
      </w:r>
    </w:p>
    <w:p w:rsidR="00103438" w:rsidRPr="00103438" w:rsidRDefault="00103438" w:rsidP="00103438">
      <w:pPr>
        <w:spacing w:after="0"/>
        <w:ind w:firstLine="709"/>
        <w:jc w:val="both"/>
        <w:rPr>
          <w:rFonts w:ascii="Times New Roman" w:eastAsia="Times New Roman" w:hAnsi="Times New Roman"/>
          <w:sz w:val="24"/>
          <w:szCs w:val="24"/>
          <w:lang w:eastAsia="ru-RU"/>
        </w:rPr>
      </w:pPr>
      <w:r w:rsidRPr="00103438">
        <w:rPr>
          <w:rFonts w:ascii="Times New Roman" w:eastAsia="Times New Roman" w:hAnsi="Times New Roman"/>
          <w:sz w:val="24"/>
          <w:szCs w:val="24"/>
          <w:lang w:eastAsia="ru-RU"/>
        </w:rPr>
        <w:lastRenderedPageBreak/>
        <w:t>2. ООО «ООО «НГСК» владеет на законном основании кабельными и воздушными линиями электропередачи, расположенными и используемыми для осуществления регулируемой деятельности в административных границах Новосибирской области, непосредственно соединенными с трансформаторными подстанциями, указанными выше, сумма протяженностей которых по трассе составляет 355,432 км, следующих проектных номинальных классов напряжения:</w:t>
      </w:r>
    </w:p>
    <w:p w:rsidR="00103438" w:rsidRPr="00103438" w:rsidRDefault="00103438" w:rsidP="00103438">
      <w:pPr>
        <w:spacing w:after="0"/>
        <w:ind w:firstLine="709"/>
        <w:jc w:val="both"/>
        <w:rPr>
          <w:rFonts w:ascii="Times New Roman" w:eastAsia="Times New Roman" w:hAnsi="Times New Roman"/>
          <w:sz w:val="24"/>
          <w:szCs w:val="24"/>
          <w:lang w:eastAsia="ru-RU"/>
        </w:rPr>
      </w:pPr>
      <w:r w:rsidRPr="00103438">
        <w:rPr>
          <w:rFonts w:ascii="Times New Roman" w:eastAsia="Times New Roman" w:hAnsi="Times New Roman"/>
          <w:sz w:val="24"/>
          <w:szCs w:val="24"/>
          <w:lang w:eastAsia="ru-RU"/>
        </w:rPr>
        <w:t xml:space="preserve">1-20 кВ – 136,282 км; </w:t>
      </w:r>
    </w:p>
    <w:p w:rsidR="00103438" w:rsidRPr="00103438" w:rsidRDefault="00103438" w:rsidP="00103438">
      <w:pPr>
        <w:spacing w:after="0"/>
        <w:ind w:firstLine="709"/>
        <w:jc w:val="both"/>
        <w:rPr>
          <w:rFonts w:ascii="Times New Roman" w:eastAsia="Times New Roman" w:hAnsi="Times New Roman"/>
          <w:sz w:val="24"/>
          <w:szCs w:val="24"/>
          <w:lang w:eastAsia="ru-RU"/>
        </w:rPr>
      </w:pPr>
      <w:r w:rsidRPr="00103438">
        <w:rPr>
          <w:rFonts w:ascii="Times New Roman" w:eastAsia="Times New Roman" w:hAnsi="Times New Roman"/>
          <w:sz w:val="24"/>
          <w:szCs w:val="24"/>
          <w:lang w:eastAsia="ru-RU"/>
        </w:rPr>
        <w:t>ниже 1 кВ- 219,15 км, что соответствует пункту 2 Критериев.</w:t>
      </w:r>
    </w:p>
    <w:p w:rsidR="00A553C8" w:rsidRDefault="00103438" w:rsidP="00103438">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w:t>
      </w:r>
      <w:r w:rsidRPr="00103438">
        <w:rPr>
          <w:rFonts w:ascii="Times New Roman" w:eastAsia="Times New Roman" w:hAnsi="Times New Roman"/>
          <w:sz w:val="24"/>
          <w:szCs w:val="24"/>
          <w:lang w:eastAsia="ru-RU"/>
        </w:rPr>
        <w:t xml:space="preserve">аким образом, ООО «НГСК» соответствует Критериям отнесения владельцев объектов электросетевого хозяйства к территориальным сетевым организациям, утвержденным постановлением Правительства РФ от 28.02.2015 № 184 </w:t>
      </w:r>
    </w:p>
    <w:p w:rsidR="00E9633A" w:rsidRDefault="00E9633A" w:rsidP="00103438">
      <w:pPr>
        <w:spacing w:after="0"/>
        <w:ind w:firstLine="709"/>
        <w:jc w:val="both"/>
        <w:rPr>
          <w:rFonts w:ascii="Times New Roman" w:eastAsia="Times New Roman" w:hAnsi="Times New Roman"/>
          <w:b/>
          <w:sz w:val="24"/>
          <w:szCs w:val="24"/>
          <w:lang w:eastAsia="ru-RU"/>
        </w:rPr>
      </w:pPr>
      <w:r w:rsidRPr="00E9633A">
        <w:rPr>
          <w:rFonts w:ascii="Times New Roman" w:eastAsia="Times New Roman" w:hAnsi="Times New Roman"/>
          <w:b/>
          <w:sz w:val="24"/>
          <w:szCs w:val="24"/>
          <w:lang w:eastAsia="ru-RU"/>
        </w:rPr>
        <w:t>2. Неподконтрольные расходы на 2023-2024 годы</w:t>
      </w:r>
    </w:p>
    <w:p w:rsidR="002F704B" w:rsidRDefault="002F704B" w:rsidP="00103438">
      <w:pPr>
        <w:spacing w:after="0"/>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2.1.1 Аренда объектов электросетевого хозяйства </w:t>
      </w:r>
    </w:p>
    <w:p w:rsidR="008040E8" w:rsidRPr="008040E8" w:rsidRDefault="008040E8" w:rsidP="008040E8">
      <w:pPr>
        <w:spacing w:after="0" w:line="240" w:lineRule="auto"/>
        <w:ind w:firstLine="709"/>
        <w:jc w:val="both"/>
        <w:rPr>
          <w:rFonts w:ascii="Times New Roman" w:eastAsia="Times New Roman" w:hAnsi="Times New Roman"/>
          <w:sz w:val="24"/>
          <w:szCs w:val="24"/>
          <w:u w:val="single"/>
          <w:lang w:eastAsia="ru-RU"/>
        </w:rPr>
      </w:pPr>
      <w:r w:rsidRPr="008040E8">
        <w:rPr>
          <w:rFonts w:ascii="Times New Roman" w:eastAsia="Times New Roman" w:hAnsi="Times New Roman"/>
          <w:sz w:val="24"/>
          <w:szCs w:val="24"/>
          <w:u w:val="single"/>
          <w:lang w:eastAsia="ru-RU"/>
        </w:rPr>
        <w:t>1. Договор аренды № 01-2017/А от 10.05.2017 и др.</w:t>
      </w:r>
    </w:p>
    <w:p w:rsidR="008040E8" w:rsidRPr="008040E8" w:rsidRDefault="008040E8" w:rsidP="008040E8">
      <w:pPr>
        <w:spacing w:after="0" w:line="240" w:lineRule="auto"/>
        <w:ind w:firstLine="709"/>
        <w:jc w:val="both"/>
        <w:rPr>
          <w:rFonts w:ascii="Times New Roman" w:eastAsia="Times New Roman" w:hAnsi="Times New Roman"/>
          <w:sz w:val="24"/>
          <w:szCs w:val="24"/>
          <w:lang w:eastAsia="ru-RU"/>
        </w:rPr>
      </w:pPr>
      <w:r w:rsidRPr="008040E8">
        <w:rPr>
          <w:rFonts w:ascii="Times New Roman" w:eastAsia="Times New Roman" w:hAnsi="Times New Roman"/>
          <w:sz w:val="24"/>
          <w:szCs w:val="24"/>
          <w:lang w:eastAsia="ru-RU"/>
        </w:rPr>
        <w:t>ООО «НГСК» заявлены расходы по арендной плате по договору аренды № 01-2017/А от 10.05.2017, заключенному с ООО «Альянс Новосибирских Сетевых Компаний» (далее –ООО «Альянс НСК»), в размере 2 937 747,75 руб., на уровне установленной указанным договором аренды величины арендной платы.</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Согласно представленному в материалах тарифного дела по корректировке НВВ ООО «НГСК» </w:t>
      </w:r>
      <w:r w:rsidRPr="00B806A7">
        <w:rPr>
          <w:rFonts w:ascii="Times New Roman" w:eastAsia="Times New Roman" w:hAnsi="Times New Roman"/>
          <w:color w:val="FF0000"/>
          <w:sz w:val="24"/>
          <w:szCs w:val="24"/>
          <w:lang w:eastAsia="ru-RU"/>
        </w:rPr>
        <w:t>на 2024 год</w:t>
      </w:r>
      <w:r w:rsidRPr="00B806A7">
        <w:rPr>
          <w:rFonts w:ascii="Times New Roman" w:eastAsia="Times New Roman" w:hAnsi="Times New Roman"/>
          <w:sz w:val="24"/>
          <w:szCs w:val="24"/>
          <w:lang w:eastAsia="ru-RU"/>
        </w:rPr>
        <w:t xml:space="preserve"> Уведомлению ООО «Альянс НСК» является правопреемником компаний ООО «Новосибирская электросетевая компания (ИНН 5406517З41) (далее – ООО «НЭСК»), ООО «НОВЭЛС» (ИНН 5402051043), ООО «Инженерная инфраструктура» (ИНН 5402058673) на основании реорганизации в форме слияния, о чем в Едином Государственном Реестре Юридических Лиц сделана запись от l6.06.2021 года (уведомление прилагается к настоящему заключению).</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обоснование расходов по арендной плате по указанному договору организацией представлен расчет арендной платы в размере 2 937 747,75 руб., в том числе амортизационные отчисления - 2 549 782,46 руб., налог на имущество - 387 965,29 руб.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п. 27 Основ ценообразования: «</w:t>
      </w:r>
      <w:r w:rsidRPr="00B806A7">
        <w:rPr>
          <w:rFonts w:ascii="Times New Roman" w:eastAsia="Times New Roman" w:hAnsi="Times New Roman"/>
          <w:i/>
          <w:sz w:val="24"/>
          <w:szCs w:val="24"/>
          <w:lang w:eastAsia="ru-RU"/>
        </w:rPr>
        <w:t>При расчете экономически обоснованного размера амортизации на плановый период регулирования срок полезного использования активов и отнесение этих активов к соответствующей амортизационной группе определяется регулирующими органами в соответствии с максимальными сроками полезного использования, установленными Классификацией основных средств, включаемых в амортизационные группы, утвержденной постановлением Правительства Российской Федерации от 1 января 2002 г. № 1 "О Классификации основных средств, включаемых в амортизационные группы"</w:t>
      </w:r>
      <w:r w:rsidRPr="00B806A7">
        <w:rPr>
          <w:rFonts w:ascii="Times New Roman" w:eastAsia="Times New Roman" w:hAnsi="Times New Roman"/>
          <w:sz w:val="24"/>
          <w:szCs w:val="24"/>
          <w:lang w:eastAsia="ru-RU"/>
        </w:rPr>
        <w:t>.</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Кроме того, п. 27 Основ ценообразования содержит следующую норму: «</w:t>
      </w:r>
      <w:r w:rsidRPr="00B806A7">
        <w:rPr>
          <w:rFonts w:ascii="Times New Roman" w:eastAsia="Times New Roman" w:hAnsi="Times New Roman"/>
          <w:i/>
          <w:sz w:val="24"/>
          <w:szCs w:val="24"/>
          <w:lang w:eastAsia="ru-RU"/>
        </w:rPr>
        <w:t>Результаты переоценки основных средств и нематериальных активов, осуществленной в порядке, установленном законодательством Российской Федерации о бухгалтерском учете, учитываются при расчете экономически обоснованного размера расходов на амортизацию при условии, что учитываемые в составе необходимой валовой выручки расходы на амортизацию являются источником финансирования мероприятий утвержденной в установленном порядке инвестиционной программы организации</w:t>
      </w:r>
      <w:r w:rsidRPr="00B806A7">
        <w:rPr>
          <w:rFonts w:ascii="Times New Roman" w:eastAsia="Times New Roman" w:hAnsi="Times New Roman"/>
          <w:sz w:val="24"/>
          <w:szCs w:val="24"/>
          <w:lang w:eastAsia="ru-RU"/>
        </w:rPr>
        <w:t>.»</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Специалистом департамента был проведен анализ представленных документов на предмет соответствия требованиям п. 27 и п.п. 5 п. 28 Основ ценообразования.</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По расчету ООО «НГСК» сумма амортизационных отчислений по предусмотренным указанным договором объектам электросетевого хозяйства сформирована в размере                              2 549 782,46 руб. в разрезе объектов исходя из первоначальной стоимости указанных объектов (за исключением ряда объектов электросетевого хозяйства) и сроков полезного использования, </w:t>
      </w:r>
      <w:r w:rsidRPr="00B806A7">
        <w:rPr>
          <w:rFonts w:ascii="Times New Roman" w:eastAsia="Times New Roman" w:hAnsi="Times New Roman"/>
          <w:sz w:val="24"/>
          <w:szCs w:val="24"/>
          <w:lang w:eastAsia="ru-RU"/>
        </w:rPr>
        <w:lastRenderedPageBreak/>
        <w:t>предусмотренных первичными данными бухгалтерского учета предыдущего собственника (ООО «НЭСК»), за исключением ряда объектов.</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случае перехода права собственности на объекты основных средств от одного собственника к другому в орган регулирования должны предоставляться документы, подтверждающие прием в эксплуатацию и постановку на бухгалтерский баланс основных средств по остаточной стоимости и по остаточному сроку полезного использования (далее – СПИ), что закреплено позицией, изложенной в решении ФАС России от 18.07.2024 № СП/63652/24.</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обоснование расходов по амортизационным отчислениям организацией также были представлены инвентарные карточки объектов основных средств правопреемника ООО «Альянс НСК».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анализа инвентарных карточек объектов основных средств ООО «НЭСК» и ООО «Альянс НСК» на соответствие требованиям п. 27 Основ ценообразования, а именно отнесения активов к соответствующей амортизационной группе, предусмотренной классификацией основных средств, утвержденной постановлением Правительства Российской Федерации от 01.01.2002 № 1 «О Классификации основных средств, включаемых в амортизационные группы» (далее – Классификатор), применяемого СПИ, результатов переоценки, а также определения остаточной стоимости ООО «Альянс НСК» установлено:</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представленных инвентарных карточках правопреемника ООО «Альянс НСК» отражены данные по остаточной стоимости и остаточные СПИ, определенные с учетом  фактического СПИ предыдущего собственника ООО «НЭСК», за исключением ряда объектов, по которым остаточная стоимость с учетом фактического срока использования предыдущего собственника определена ООО «Альянс НСК» ниже, чем у ООО «НЭСК», в том числе по следующим объектам:</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зданию трансформаторной подстанции (строительная часть), кадастровый номер: 54:35:101685:38 отнесено ООО «НЭСК» к десятой группе, установлен СПИ 300 месяцев (остаточный СПИ по указанному объекту рассчитан правопреемником ООО «Альянс НСК» от СПИ 361 месяц и соответственно пересчитана остаточная стоимость);</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зданию трансформаторной подстанции (строительная часть), кадастровый номер 54:35:083155:88; здание трансформаторной подстанции (строительная часть), кадастровый номер: 54:35:021027:3220; строительная часть ТП - 3227 (ТП-9-481) м-он Горский (8а), кадастровый номер 54:35:064340:91; строительная часть ТП - 3215 (ТП-9--479) м-он Горский (8), кадастровый номер 54:35:064340:99 - отнесены ООО «НЭСК» к десятой группе, установлен СПИ 361 месяцев (остаточная стоимость у ООО «Альянс НСК» рассчитана ниже, чем у ООО «НЭСК»);</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КЛ-10 кВ от ТП 9-479 (яч.3) до ТП-448 (яч.1) - отнесено ООО «НЭСК» к восьмой группе, установлен СПИ 300 месяцев (остаточная стоимость у ООО «Альянс НСК» рассчитана ниже, чем у ООО «НЭСК»);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-из 120 позиций объектов основных средств, участвующих в расчете амортизационных отчислений, установленный организациями СПИ не соответствует максимальному СПИ, установленному Классификатором по следующим объектам: по КТПН-375ба (инвентарный номер 00-000149) и следующему электросетевому оборудованию: ТП-4222 (ТП-9-1965) (инвентарный номер 00-000155), ТП-4076, (инвентарный номер 00-000395), ТП–1 (Электрооборудование РУ-10кВ, РУ-0,4кВ с двумя  трансформаторами типа ТМГ -630/10/0,4) (инвентарный номер 00-000134), ТП-4099 (инвентарный номер 00-000411), по ТП - 9-3556 (инвентарный номер 00-000129), ТП - 3215 (ТП-9-479) (инвентарный номер 00-000120), ТП - 3227 (ТП-9-478) (инвентарный  номер 00-000121), ТП - 9-4195 (инвентарный номер 00-000076) отнесены ООО «НЭСК» к седьмой амортизационной группе, установлен СПИ 181 месяц (остаточный СПИ по указанным объектам рассчитан правопреемником ООО «Альянс НСК» от первоначального СПИ 181 месяц);</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ряду объектов отражена переоценка, проведенная ООО «НЭСК» в предыдущие периоды (в ОС-6 отражена переоценка, проведенная ООО «НЭСК» по состоянию на 31.12.2016 года), которая впоследствии была исключена ООО «НГСК» из расчета амортизационных отчислений.</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Таким образом, департаментом установлено, что представленные в обоснование расходов по амортизационных отчислений на сумму 2 549 782,46 руб. инвентарные карточки заполнены ООО «Альянс НСК» по остаточной стоимости и по остаточному СПИ, за исключением ряда объектов; остаточная стоимость содержит результаты переоценки, проведенной ООО «НЭСК» по состоянию на 31.12.2016 года по ряду объектов основных средств, что подтверждается инвентарными карточками объектов основных средств (прилагаются к настоящему заключению). При этом следует отметить, что в указанном расчете ООО «НГСК» исключена указанная переоценка объектов электросетевого хозяйства.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Кроме того, по результатам проведения анализа на соответствие отнесения активов к соответствующей амортизационной группе, предусмотренной Классификатором, установлено, что ряд объектов электросетевого хозяйства ООО «НЭСК» отнесен к седьмой группе и установлен СПИ 181 месяц, а также по зданию трансформаторной подстанции ТП-4076 (строительная часть) кадастровый номер: 54:35:101685:38 установлен СПИ 300 месяцев, которые не соответствуют максимальным СПИ (240 месяцев для седьмой группы и 361 месяц для десятой группы), установленным Классификатором для седьмой и десятой амортизационных групп.</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целях недопущения увеличения амортизационных отчисления при формировании плановой величины арендной платы специалистом департамента при расчете амортизационных отчислений учитывалось следующее:</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-первоначальная стоимость и первоначальные СПИ, при этом проводился детальный анализ в разрезе объектов по стоимости ООО «Альянс НСК», принятой на баланс и рассчитанной ниже, чем у ООО «НЭСК» (не от первоначальной стоимости);</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-результаты переоценки, проведенной ООО «НЭСК» по состоянию на 31.12.2016, исключены в полном объеме, что подтверждается первичными документами бухгалтерского учета;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-пересчитаны СПИ по вышеуказанным объектам с учетом максимальных СПИ 240 месяцев и 361 месяц для седьмой и десятой амортизационной группе соответственно.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Сравнительный анализ первоначальной стоимости и первоначального СПИ и остаточной стоимости и остаточного СПИ, а также данных принятых в расчет амортизационных отчислений отражен в приложении к настоящему заключению.</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Так, например, согласно инвентарной карточке правопреемника ООО «Альянс НСК»  - по «КЛ-10 кВ от РП-3180 яч. 13 до ТП-4222 КЛ-10 кВ от РП-3180 яч. 13 до ТП-4222» с инвентарным номером 00-000152, остаточная стоимость составляет 2 417 794,99 руб., остаточный СПИ – 248 месяцев, амортизация в месяц составит 9 749,17 руб. (2 417 794,99/248), при этом при расчете расходов на амортизационные отчисления департаментом учтена первоначальная (балансовая) стоимость ООО «НЭСК» на основании инвентарной карточки в размере 2 924 752,01 руб., первоначальный СПИ 300 месяцев, амортизация в месяц по расчету также составила 9 749,17 руб. (2 924 752,01 /300).</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целом по всем предусмотренным указанным договором объектам электросетевого хозяйства сумма амортизационных отчислений рассчитана: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 -исходя из первоначальной стоимости ООО «НЭСК» (с учетом переоценки) и первоначального СПИ, которая </w:t>
      </w:r>
      <w:r w:rsidRPr="00B806A7">
        <w:rPr>
          <w:rFonts w:ascii="Times New Roman" w:eastAsia="Times New Roman" w:hAnsi="Times New Roman"/>
          <w:sz w:val="24"/>
          <w:szCs w:val="24"/>
          <w:u w:val="single"/>
          <w:lang w:eastAsia="ru-RU"/>
        </w:rPr>
        <w:t>составила в месяц 575 895,29 руб.</w:t>
      </w:r>
      <w:r w:rsidRPr="00B806A7">
        <w:rPr>
          <w:rFonts w:ascii="Times New Roman" w:eastAsia="Times New Roman" w:hAnsi="Times New Roman"/>
          <w:sz w:val="24"/>
          <w:szCs w:val="24"/>
          <w:lang w:eastAsia="ru-RU"/>
        </w:rPr>
        <w:t xml:space="preserve"> (в год 6 910 743,51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-исходя из принятой ООО «Альянс НСК» на баланс остаточной стоимости (с учетом переоценки) и остаточного СПИ, которая </w:t>
      </w:r>
      <w:r w:rsidRPr="00B806A7">
        <w:rPr>
          <w:rFonts w:ascii="Times New Roman" w:eastAsia="Times New Roman" w:hAnsi="Times New Roman"/>
          <w:sz w:val="24"/>
          <w:szCs w:val="24"/>
          <w:u w:val="single"/>
          <w:lang w:eastAsia="ru-RU"/>
        </w:rPr>
        <w:t>составила в месяц 571 246,10 руб.</w:t>
      </w:r>
      <w:r w:rsidRPr="00B806A7">
        <w:rPr>
          <w:rFonts w:ascii="Times New Roman" w:eastAsia="Times New Roman" w:hAnsi="Times New Roman"/>
          <w:sz w:val="24"/>
          <w:szCs w:val="24"/>
          <w:lang w:eastAsia="ru-RU"/>
        </w:rPr>
        <w:t xml:space="preserve"> (в год 6 854 953,14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Таким образом, при анализе инвентарных карточек объектов электросетевого хозяйства в части формирования остаточной стоимости при переходе их права собственности от одного собственника к другому завышения стоимости объектов не установлено.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экспертизы представленных обосновывающих материалов специалистом департамента признаны экономически обоснованными расходы по арендной плате по договору аренды № 01-2017/А от 10.05.2017 в размере 2 937 747,75 руб., в том числе:</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расходы на амортизационные отчисления в размере 2 549 782,46 руб. согласно расчету выполненному специалистом департамента в разрезе объектов исходя из первоначальной стоимости арендуемых объектов предыдущего собственника (без учета результатов переоценки, в том числе проведенной ООО «НЭСК» по состоянию на 31.12.2016), и максимальных СПИ, установленных Классификатором;</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расходы по налогу на имущество в размере 387 965,29 руб., рассчитанные исходя из среднегодовой остаточной стоимости и налоговой ставки в размере 2,2%. Величина налоговой ставки учтена в соответствии с подпунктом 1) статьи 4.2 Закона Новосибирской области от 16 октября 2003 № 142-ОЗ.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результате, расходы по данному договору признаны экономически обоснованными в размере 2 937 747,75 руб., на том же уровне, поскольку сформированные департаментом расходы не превышают рассчитанный на основании требований п. 27, п.п. 5 п. 28 Основ ценообразования экономически обоснованный размер и установленную указанным договором величину арендной платы. </w:t>
      </w:r>
    </w:p>
    <w:p w:rsidR="008040E8" w:rsidRPr="00B806A7" w:rsidRDefault="008040E8" w:rsidP="008040E8">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 xml:space="preserve">Договор аренды № 14-2023/А от 01.07.2023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аренды № 14-2023/А от 01.07.2023, заключенному с ООО «Единая Энергосистема» (Арендодатель), в размере                       8 106 765,97 руб., на уровне установленной указанным договором аренды величины арендной платы.</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обоснование расходов по арендной плате по указанному договору организацией представлен расчет арендной платы в размере 8 106 765,97 руб., в том числе амортизационные отчисления - 8 074 034,27 руб., налог на имущество -  32 731,70 руб.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был проведен анализ представленных документов на предмет соответствия требованиям п. 27 и п.п. 5 п. 28 Основ ценообразования.</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расчету ООО «НГСК» сумма амортизационных отчислений по предусмотренным указанным договором объектам электросетевого хозяйства определена в размере                                     8 074 034,27 руб. в разрезе объектов исходя из первоначальной стоимости арендуемых объектов предыдущих собственников (ООО «НЭСК», ООО «Инженерная инфраструктура»,                             ИП Тимошик, ООО «НОВЭЛС», ООО «Региональные сети», ООО «Альянс НСК») и СПИ, предусмотренных первичными данными бухгалтерского учета предыдущих собственников, за исключением ряда объектов электросетевого хозяйства (указаны ниже).</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 учетом вышеизложенной позиции при переходе права собственности на объекты основных средств в орган регулирования должны предоставляться документы, подтверждающие прием в эксплуатацию и постановку на бухгалтерский баланс основных средств по остаточной стоимости и по остаточному СПИ.</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этой связи в обоснование расходов по амортизационным отчислениям организацией также были представлены инвентарные карточки объектов основных средств вышеуказанных предыдущих собственников.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По результатам анализа инвентарных карточек объектов основных средств предыдущих собственников и арендатора ООО «Единая Энергосистема» на соответствие отнесения активов к соответствующей амортизационной группе, предусмотренной Классификатором, и применяемого СПИ, а также определения остаточной стоимости и СПИ при переходе объектов от одного собственника к другому департаментом установлено: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представленных инвентарных карточках ООО «Единая Энергосистема» из 243 позиций объектов основных средств, участвующих в расчете амортизационных отчислений, отражены данные по остаточной стоимости и остаточным СПИ, определенные с учетом фактического СПИ указанных предыдущих собственников, за исключением объекта КТПН № 2196а, по которому остаточный СПИ определен исходя из первоначальной стоимости 241 месяц, при этом у предыдущего собственника первоначальный СПИ 240 месяцев;</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-амортизационные группы и установленные СПИ соответствуют Классификатору, за исключением установленного ООО «НЭСК» СПИ по следующим объектам: КТПН-153, КТПН-157, КТПН-158, КТПН-159, по которым определена седьмая амортизационная группа, с минимальным СПИ 181 месяц;</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-данные о переоценке отсутствуют.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При этом следует отметить, что в расчете амортизационных отчислений в отношении двух объектов электросетевого хозяйства (ТП-4004 (КТПН-4004) и КТПН-4) ООО «НГСК» была предусмотрена стоимость в размере 700 тыс. руб., которая была ниже балансовой стоимости объектов и была признана специалистом департамента экономически обоснованной, поскольку не превышала стоимость строительства в ценах 2017 года.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Кроме того, в представленном ООО «НГСК» расчете амортизационных отчислений по ряду объектов учтена остаточная стоимость и остаточные СПИ по ним предыдущего собственника ООО «Альянс НСК», а именно по последующим объектам электросетевого хозяйства: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КТПН № 5Н-176: остаточная стоимость  -1 831 260 руб., остаточный СПИ 235 месяцев;</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ВЛ-10 кВ от опоры № 25/12а до КТПН № 5Н-176: остаточная стоимость 892 160 руб., остаточный СПИ 295 месяцев;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Трансформаторная подстанция КТПН-4733: остаточная стоимость -  3 759 117 руб., остаточный СПИ 235 месяцев;</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КЛ-10 кВ от ТП-1862 на соединительной муфте до КТПН 4733 ул. Коммуностроевская 161: остаточная стоимость - 122 894 руб., остаточный СПИ 295 месяцев;</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КЛ-10 кВ от ТП-1862 на соединительной муфте до КТПН 4733 ул. Коммуностроевская 161: остаточная стоимость -128 015 руб., остаточный СПИ 295 месяцев;</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КЛ-10 кВ от яч. 5 в РП-1520 до КТПН 4733 ул. Коммуностроевская 161: остаточная стоимость - 158 738 руб., остаточный СПИ 295 месяцев;</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КЛ-10 кВ от яч. 5 в РП-1520 до КТПН 4733 ул. Коммуностроевская 161: остаточная стоимость - 166 419 руб., остаточный СПИ 295 месяцев;</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КЛ-0,4 кВ от КТПН 4733: остаточная стоимость - 534 836 руб., остаточный СПИ 295 месяцев.</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Сравнительный анализ расчета амортизационных отчислений по указанным объектам по первоначальной стоимости и первоначальному СПИ, остаточной стоимости и СПИ, а также выполненному расчету департамента представлен ниже.</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Департаментом установлено, что амортизационные отчисления по остаточной стоимости и остаточному СПИ определены собственником ООО «Единая Энергосистема» по данным объектам корректно, поскольку не привели к завышению балансовой стоимости, следовательно, амортизационные отчисления по указанным объектам не подлежали перерасчету и были приняты по заявке организации. </w:t>
      </w:r>
    </w:p>
    <w:p w:rsidR="008040E8" w:rsidRPr="00B806A7" w:rsidRDefault="00B806A7" w:rsidP="008040E8">
      <w:pPr>
        <w:spacing w:after="0" w:line="240" w:lineRule="auto"/>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4pt;height:199.4pt">
            <v:imagedata r:id="rId9" o:title=""/>
          </v:shape>
        </w:pic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 учетом комплексного анализа представленных ООО «НГСК» документов специалист департамента при расчете амортизационных отчислений руководствовался данными расчета ООО «НГСК», поскольку завышения стоимости при переходе права собственности на объекты электросетевого хозяйства от одного собственника к другому не установлено. Указанный расчет выполнен исходя из:</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-первоначальной стоимости, подтвержденной первичными данными бухгалтерского учета вышеуказанными предыдущими собственниками, за исключением 2 объектов электросетевого хозяйства, по которым стоимость ООО «НГСК была снижена;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-первоначальными СПИ, подтвержденными первичными данными бухгалтерского учета указанными собственниками, с учетом пересчета СПИ по следующим объектам: КТПН-153, КТПН-157, КТПН-158, КТПН-159 за счет применения седьмой амортизационной группы, с максимальным СПИ 240 месяцев в соответствии с Классификатором.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Сравнительный анализ первоначальной стоимости и первоначального СПИ, остаточной стоимости и остаточного СПИ, а также данных принятых в расчет амортизационных отчислений отражен в приложении к настоящему заключению (Приложение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целом по всем предусмотренным указанным договором объектам электросетевого хозяйства сумма амортизационных отчислений рассчитана: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 -исходя из установленных предыдущими собственниками первоначальной стоимости и первоначального СПИ, которая </w:t>
      </w:r>
      <w:r w:rsidRPr="00B806A7">
        <w:rPr>
          <w:rFonts w:ascii="Times New Roman" w:eastAsia="Times New Roman" w:hAnsi="Times New Roman"/>
          <w:sz w:val="24"/>
          <w:szCs w:val="24"/>
          <w:u w:val="single"/>
          <w:lang w:eastAsia="ru-RU"/>
        </w:rPr>
        <w:t>составила в месяц 681 010,12 руб.</w:t>
      </w:r>
      <w:r w:rsidRPr="00B806A7">
        <w:rPr>
          <w:rFonts w:ascii="Times New Roman" w:eastAsia="Times New Roman" w:hAnsi="Times New Roman"/>
          <w:sz w:val="24"/>
          <w:szCs w:val="24"/>
          <w:lang w:eastAsia="ru-RU"/>
        </w:rPr>
        <w:t xml:space="preserve"> (в год 8 172 121 руб.) (в расчете не участвовал лишь один объект ВЛ-0,4 кВ от КТПН №5Н-176):</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-исходя из установленных ООО «Единая Энергосистема» остаточной стоимости и остаточного СПИ, которая </w:t>
      </w:r>
      <w:r w:rsidRPr="00B806A7">
        <w:rPr>
          <w:rFonts w:ascii="Times New Roman" w:eastAsia="Times New Roman" w:hAnsi="Times New Roman"/>
          <w:sz w:val="24"/>
          <w:szCs w:val="24"/>
          <w:u w:val="single"/>
          <w:lang w:eastAsia="ru-RU"/>
        </w:rPr>
        <w:t>составила в месяц 693 661,07 руб.</w:t>
      </w:r>
      <w:r w:rsidRPr="00B806A7">
        <w:rPr>
          <w:rFonts w:ascii="Times New Roman" w:eastAsia="Times New Roman" w:hAnsi="Times New Roman"/>
          <w:sz w:val="24"/>
          <w:szCs w:val="24"/>
          <w:lang w:eastAsia="ru-RU"/>
        </w:rPr>
        <w:t xml:space="preserve"> (в год 8 323 932,90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По результатам экспертизы представленных обосновывающих материалов специалистом департамента признаны экономически обоснованными расходы по арендной плате по договору  аренды № 14-2023/А от 01.07.2023 в размере </w:t>
      </w:r>
      <w:r w:rsidRPr="00B806A7">
        <w:rPr>
          <w:rFonts w:ascii="Times New Roman" w:eastAsia="Times New Roman" w:hAnsi="Times New Roman"/>
          <w:sz w:val="24"/>
          <w:szCs w:val="24"/>
          <w:u w:val="single"/>
          <w:lang w:eastAsia="ru-RU"/>
        </w:rPr>
        <w:t>8 106 765,97 руб.,</w:t>
      </w:r>
      <w:r w:rsidRPr="00B806A7">
        <w:rPr>
          <w:rFonts w:ascii="Times New Roman" w:eastAsia="Times New Roman" w:hAnsi="Times New Roman"/>
          <w:sz w:val="24"/>
          <w:szCs w:val="24"/>
          <w:lang w:eastAsia="ru-RU"/>
        </w:rPr>
        <w:t xml:space="preserve"> в том числе:</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расходы на амортизационные отчисления в размере 8 074 034,27 руб. согласно расчету организации, выполненному в разрезе объектов исходя из первоначальной стоимости арендуемых объектов предыдущими собственниками, за исключением 2 объектов (КТПН-4004 и КТПН-4) и применения максимальных СПИ, установленных Классификатором для амортизационных групп, при этом по ряду объектов основных средств (в количестве 8 штук) рассчитаны исходя из остаточной стоимости и остаточного СПИ, что не привело к завышению амортизационных отчислений;</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расходы по налогу на имущество в размере 32 731,70 руб., рассчитанные исходя из среднегодовой остаточной стоимости и налоговой ставки в размере 2,2%. Величина налоговой ставки учтена в соответствии с подпунктом 1) статьи 4.2 Закона Новосибирской области от 16 октября 2003 № 142-ОЗ.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результате, расходы по данному договору признаны экономически обоснованными в размере 8 106 765,97 руб., на том же уровне, поскольку сформированные департаментом расходы не превышают рассчитанный на основании требований п. 27, п.п. 5 п. 28 Основ ценообразования экономически обоснованный размер и установленную указанным договором величину арендной платы.</w:t>
      </w:r>
    </w:p>
    <w:p w:rsidR="008040E8" w:rsidRPr="00B806A7" w:rsidRDefault="008040E8" w:rsidP="008040E8">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 xml:space="preserve">Договор аренды № 06-2017/А от 01.08.2017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аренды № 06-2017/А от 01.08.2017, заключенному с ООО «Альянс НСК» в размере 3 266 007,41 руб., на уровне установленной указанным договором аренды величины арендной платы.</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по арендной плате по указанному договору организацией представлен расчет арендной платы в размере 3 266 007,41руб., в том числе амортизационные отчисления - 3 024 322,11 руб., налог на имущество - 241 685,31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По расчету ООО «НГСК» сумма амортизационных отчислений по предусмотренным указанным договором объектам электросетевого хозяйства сформирована в размере                                    3 024 322,11 руб. в разрезе объектов исходя из первоначальной стоимости арендуемых объектов и СПИ, предусмотренными первичными данными бухгалтерского учета предыдущего собственника (ООО «НЭСК»), за исключением ряда объектов.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по амортизационным отчислениям организацией также были представлены инвентарные карточки объектов основных средств ООО «НЭСК».</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анализа инвентарных карточек объектов основных средств ООО «НЭСК» и ООО «Альянс НСК» на соответствие отнесения активов к соответствующей амортизационной группе, предусмотренной Классификатором, применяемого СПИ, а также определения остаточной стоимости ООО «Альянс НСК» департаментом установлено:</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представленных инвентарных карточках ООО «НЭСК» отражены данные по первоначальной стоимости, амортизационные группы определены в соответствии с Классификатором; установленные ООО «НЭСК» СПИ соответствуют максимальным СПИ, установленным Классификатором, за исключением следующих объектов: электрооборудование ТП-4240, электрооборудование ТП-21Ч;</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представленных инвентарных карточках ООО «Альянс НСК» отражены данные по остаточной стоимости и остаточным СПИ, определенные с учетом фактического СПИ предыдущего собственника, за исключением ряда объектов, а именно из 69 позиций объектов основных средств, участвующих в расчете амортизационных отчислений, по ряду объектов остаточная стоимость с учетом фактического срока предыдущего собственника определена ООО «Альянс НСК» выше, чем у ООО «НЭСК»: здание трансформаторной подстанции, кадастровый номер: 54:35:101051:510, здание трансформаторной подстанции (строительная часть), кадастровый номер 54:35:091650:2801, здание трансформаторной подстанции (строительная часть), кадастровый номер 54:35:091650:3799;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-данные о переоценке в инвентарных карточках отсутствуют;</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Таким образом, департаментом установлено, что амортизационные отчисления по остаточной стоимости и остаточному СПИ определены собственником ООО «Альянс НСК» по данным объектам некорректно, поскольку привели к завышению балансовой стоимости, следовательно, амортизационные отчисления по указанным объектам подлежали перерасчету и были приняты по заявке организации, рассчитанной по первоначальной стоимости объектов.</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целях недопущения увеличения амортизационных отчисления при формировании плановой величины арендной платы специалистом департамента при расчете амортизационных отчислений учитывалась первоначальная стоимость и СПИ, подтвержденные первичными данными бухгалтерского учета предыдущего собственника (ООО «НЭСК»), с учетом пересчета максимального СПИ по двум объектам (электрооборудование ТП-4240, электрооборудование ТП-21Ч) 240 месяцев для седьмой амортизационной группы.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Так, согласно инвентарным карточкам правопреемника ООО «Альянс НСК» и выполненному расчету департамента амортизация в месяц составила: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остаточная стоимость объекта «КЛ-0,4 кВ от ТП-21Ч Ф-21 до ВРУ-6 ж.д. по ул. Балтийская, 31» составляет 519 570 руб. (амортизация в месяц составила 2 070 руб.), при этом при расчете расходов на амортизационные отчисления  департаментом учтена первоначальная балансовая стоимость ООО «НЭСК» в размере 621 000 руб., амортизация составила в месяц            2 070 руб. (621 000/300);</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остаточная стоимость объекта «КЛ-0,4 кВ от РТП-32 (ТП-22Ч) П-1, р-2 до ВРУ-1 ж.д. по ул. Балтийская, 33» составляет 604 985,3 руб. (амортизация в месяц составила 2 410,30 руб., при этом при расчете расходов на амортизацию департаментом учтена первоначальная балансовая стоимость в размере 723 090 руб., амортизация составила в месяц 2 410,3 руб.                       (723 090/300);</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остаточная стоимость объекта «КЛ-0,4 кВ от ТП-4240 Р.1 ф. 1, 2 до В1 ВРУ ж/д № 57 по ул. Д. Бедного» составляет 335 251,15 руб. (амортизация в месяц составила 1 314,71 руб.), при этом при расчете расходов на амортизацию департаментом учтена первоначальная стоимость в размере 394 413,12 руб., амортизация составила в месяц 1 314,71 руб.                             (394 413,12/300);</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остаточная стоимость объекта «ТП-21Ч» составляет 2 073 760,11 руб. (амортизация в месяц составила 15 710,30 руб.), при этом при расчете расходов на амортизацию департаментом учтена первоначальная стоимость в размере 2 843 565 руб., амортизация составила в месяц                  11 848,19 руб. (2 843 565 /240).</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Сравнительный анализ первоначальной стоимости и первоначального СПИ и остаточной стоимости и остаточного СПИ, а также данных принятых в расчет амортизационных отчислений отражен в приложении к настоящему заключению (Приложение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целом по всем предусмотренным указанным договором объектам электросетевого хозяйства сумма амортизационных отчислений рассчитана: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 -исходя из установленных ООО «НЭСК» первоначальной стоимости и первоначального СПИ, которая составила в месяц 263 094,82 руб. (в год 3 157 137,85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-исходя из установленных ООО «Альянс НСК» остаточной стоимости и остаточного СПИ, которая составила в месяц 263 650,65руб. (в год 3 163 807,78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экспертизы представленных обосновывающих материалов специалистом департамента признаны экономически обоснованными расходы по арендной плате по договору  аренды № 06-2017/А от 01.08.2017 в размере 3 266 007,41 руб., в том числе:</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расходы на амортизационные отчисления в размере 3 024 322,11 руб. согласно расчету организации, выполненному в разрезе объектов исходя из первоначальной стоимости арендуемых объектов предыдущим собственником и применения максимальных СПИ, установленных Классификатором для амортизационных групп, что не привело к завышению амортизационных отчислений;</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расходы по налогу на имущество в размере 241 685,31 руб., рассчитанные исходя из среднегодовой остаточной стоимости и налоговой ставки в размере 2,2%. Величина налоговой ставки учтена в соответствии с подпунктом 1) статьи 4.2 Закона Новосибирской области от 16 октября 2003 № 142-ОЗ.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результате, расходы по данному договору признаны экономически обоснованными в размере 3 266 007,41 руб., на том же уровне, поскольку сформированные департаментом расходы не превышают рассчитанный на основании требований п. 27, п.п. 5 п. 28 Основ ценообразования экономически обоснованный размер и установленную указанным договором величину арендной платы. </w:t>
      </w:r>
    </w:p>
    <w:p w:rsidR="008040E8" w:rsidRPr="00B806A7" w:rsidRDefault="008040E8" w:rsidP="008040E8">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Договор аренды № 07-2017/А от 15.12.2017</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аренды № 07-2017/А от 15.12.2017, заключенному с ООО «Альянс НСК» в размере 4 206 805,34 руб., на уровне установленной указанным договором аренды величины арендной платы.</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по арендной плате по указанному договору организацией представлен расчет арендной платы в размере 4 206 805,34 руб., в том числе амортизационные отчисления - 3 941 303,76 руб., налог на имущество - 265 501,59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По расчету ООО «НГСК» сумма амортизационных отчислений по предусмотренным указанным договором объектам электросетевого хозяйства сформирована в размере                                    3 941 303,76 руб. в разрезе объектов исходя из первоначальной стоимости арендуемых объектов и СПИ, предусмотренными первичными данными бухгалтерского учета предыдущего собственника (ООО «НЭСК»), за исключением ряда объектов.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по амортизационным отчислениям организацией также были представлены инвентарные карточки объектов основных средств ООО «НЭСК».</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анализа инвентарных карточек объектов основных средств ООО «НЭСК» и ООО «Альянс НСК» на соответствие отнесения активов к соответствующей амортизационной группе, предусмотренной Классификатором, применяемого СПИ, а также определения остаточной стоимости ООО «Альянс НСК» департаментом установлено:</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представленных инвентарных карточках ООО «НЭСК» отражены данные по первоначальной стоимости, амортизационные группы определены в соответствии с Классификатором, установленные ООО «НЭСК» СПИ соответствуют максимальным СПИ, установленным Классификатором, за исключением следующих объектов: Распределительный пункт со встроенной трансформаторной подстанцией, РП-34, оборудование ТП-4376, оборудование ТП-3027 (ТП-9-1979), Оборудование ТП-3599, Оборудование ТП-4316, Оборудование ТП-3210;</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представленных инвентарных карточках ООО «Альянс НСК» отражены данные по остаточной стоимости и остаточным СПИ, определенные с учетом фактического СПИ предыдущего собственника, за исключением ряда объектов, а именно из 96 позиций объектов основных средств, участвующих в расчете амортизационных отчислений, по ряду объектов остаточная стоимость с учетом фактического срока предыдущего собственника определена ООО «Альянс НСК» выше, чем у ООО «НЭСК»: Нежилое здание ТП-4376, кадастровый номер: 54:35:033060:153, Нежилое здание ТП-3027 (ТП-9-1979); г. Новосибирск, ул. Лежена (27/1), кадастровый номер: 54:35:014180:3160, Нежилое здание ТП-3599, кадастровый номер 54:35:063291:3062, Нежилое здание ТП-4316; Новосибирск, ул. Семьи Шамшиных, (20); площадь 21,8 кв.м. кадастровый номер: 54:35:000000:23097, Нежилое здание ТП-3210; Новосибирск, пер.Римского-Корсакова (12); площадь 58,1 кв.м., кадастровый номер: 54:35:064100:1555;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-данные о переоценке в инвентарных карточках отсутствуют.</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Таким образом, департаментом установлено, что амортизационные отчисления по остаточной стоимости и остаточному СПИ определены собственником ООО «Альянс НСК» по указанным объектам некорректно, поскольку привели к завышению балансовой стоимости, следовательно, амортизационные отчисления по указанным объектам подлежали перерасчету и были приняты по заявке организации, рассчитанной по первоначальной стоимости объектов.</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целях недопущения увеличения амортизационных отчисления при формировании плановой величины арендной платы специалистом департамента при расчете амортизационных отчислений учитывалась первоначальная стоимость и СПИ, подтвержденные первичными данными бухгалтерского учета предыдущего собственника (ООО «НЭСК»), с учетом пересчета максимального СПИ по шести объектам (указаны выше) 240 месяцев для седьмой амортизационной группы.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Сравнительный анализ первоначальной стоимости и первоначального СПИ и остаточной стоимости и остаточного СПИ, а также данных принятых в расчет амортизационных отчислений отражен в приложении к настоящему заключению (Приложение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целом по всем предусмотренным указанным договором объектам электросетевого хозяйства сумма амортизационных отчислений рассчитана: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 -исходя из установленных ООО «НЭСК» первоначальной стоимости и первоначального СПИ, которая составила в месяц 364 129,55 руб. (в год 4 369 554,64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-исходя из установленных ООО «Альянс НСК» остаточной стоимости и остаточного СПИ, которая составила в месяц 364 273,23 руб. (в год 4 371 278,72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экспертизы представленных обосновывающих материалов специалистом департамента признаны экономически обоснованными расходы по арендной плате по договору аренды № 07-2017/А от 15.12.2017 в размере 4 206 805,34 руб., в том числе:</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расходы на амортизационные отчисления в размере 3 941 303,76 руб. согласно расчету организации, выполненному в разрезе объектов исходя из первоначальной стоимости арендуемых объектов предыдущим собственником и применения максимальных СПИ, установленных Классификатором для амортизационных групп, что не привело к завышению амортизационных отчислений;</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расходы по налогу на имущество в размере 265 501,59 руб., рассчитанные исходя из среднегодовой остаточной стоимости и налоговой ставки в размере 2,2%. Величина налоговой ставки учтена в соответствии с подпунктом 1) статьи 4.2 Закона Новосибирской области от 16 октября 2003 № 142-ОЗ.</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результате, расходы по данному договору признаны экономически обоснованными в размере 4 206 805,34 руб., на том же уровне, поскольку сформированные департаментом расходы не превышают рассчитанный на основании требований п. 27, п.п. 5 п. 28 Основ ценообразования экономически обоснованный размер и установленную указанным договором величину арендной платы. </w:t>
      </w:r>
    </w:p>
    <w:p w:rsidR="008040E8" w:rsidRPr="00B806A7" w:rsidRDefault="008040E8" w:rsidP="008040E8">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 xml:space="preserve">Договор аренды № 08-2018/А от 01.04.2018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аренды № 08-2018/А от 01.04.2018, заключенному с ООО «Альянс НСК» в размере 372 458,00 руб., на уровне установленной указанным договором аренды величины арендной платы.</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по арендной плате по указанному договору организацией представлен расчет арендной платы в размере 372 458,00 руб., в том числе амортизационные отчисления -337 558,11 руб., налог на имущество - 34 899,89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По расчету ООО «НГСК» сумма амортизационных отчислений по предусмотренным указанным договором объектам электросетевого хозяйства сформирована в размере                                     337 558,11 руб. в разрезе объектов исходя из первоначальной стоимости арендуемых объектов и СПИ, предусмотренными первичными данными бухгалтерского учета предыдущего собственника (ООО «НЭСК»), за исключением одного объекта.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по амортизационным отчислениям организацией также были представлены инвентарные карточки объектов основных средств ООО «НЭСК».</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анализа инвентарных карточек объектов основных средств ООО «НЭСК» и ООО «Альянс НСК» на соответствие отнесения активов к соответствующей амортизационной группе, предусмотренной Классификатором, применяемого СПИ, а также определения остаточной стоимости ООО «Альянс НСК» департаментом установлено:</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представленных инвентарных карточках ООО «НЭСК» отражены данные по первоначальной стоимости, амортизационные группы определены в соответствии с Классификатором, установленные ООО «НЭСК» СПИ соответствует максимальным СПИ, установленным Классификатором, за исключением объекта Оборудование ТП-4478;</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представленных инвентарных карточках ООО «Альянс НСК» отражены данные по остаточной стоимости и остаточным СПИ, определенные с учетом фактического СПИ предыдущего собственника, за исключением одного объекта, а именно из 17 позиций объектов основных средств, участвующих в расчете амортизационных отчислений, по объекту нежилое здание ТП-4478 остаточная стоимость с учетом фактического срока предыдущего собственника определена ООО «Альянс НСК» выше, чем у ООО «НЭСК»;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-данные о переоценке в инвентарных карточках отсутствуют.</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Таким образом, департаментом установлено, что амортизационные отчисления по остаточной стоимости и остаточному СПИ определены собственником ООО «Альянс НСК» по вышеуказанному объекту некорректно, поскольку привели к завышению балансовой стоимости, следовательно, амортизационные отчисления по нему подлежали перерасчету и были приняты по заявке организации, рассчитанной по первоначальной стоимости объектов.</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целях недопущения увеличения амортизационных отчисления при формировании плановой величины арендной платы специалистом департамента при расчете амортизационных отчислений учитывалась первоначальная стоимость и СПИ, подтвержденные первичными данными бухгалтерского учета предыдущего собственника (ООО «НЭСК»), с учетом пересчета максимального СПИ 240 месяцев для седьмой амортизационной группы по оборудованию                   ТП-4478.</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Сравнительный анализ первоначальной стоимости и первоначального СПИ и остаточной стоимости и остаточного СПИ, а также данных принятых в расчет амортизационных отчислений отражен в приложении к настоящему заключению (Приложение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целом по всем предусмотренным указанным договором объектам электросетевого хозяйства сумма амортизационных отчислений рассчитана: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-исходя из установленных ООО «НЭСК» первоначальной стоимости и первоначального СПИ, которая составила в месяц 32 740,47 руб. (в год 392 885,70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-исходя из установленных ООО «Альянс НСК» остаточной стоимости и остаточного СПИ, которая составила в месяц 32 746,21 руб. (в год 392 954,56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экспертизы представленных обосновывающих материалов специалистом департамента признаны экономически обоснованными расходы по арендной плате по договору аренды № 08-2017/А от 01.04.2018 в размере 372 458,00 руб., в том числе:</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расходы на амортизационные отчисления в размере 337 558,11руб. согласно расчету организации, выполненному в разрезе объектов исходя из первоначальной стоимости арендуемых объектов предыдущим собственником и применения максимальных СПИ, установленных Классификатором для амортизационных групп, что не привело к завышению амортизационных отчислений;</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расходы по налогу на имущество в размере 34 899,89 руб., рассчитанные исходя из среднегодовой остаточной стоимости и налоговой ставки в размере 2,2%. Величина налоговой ставки учтена в соответствии с подпунктом 1) статьи 4.2 Закона Новосибирской области от 16 октября 2003 № 142-ОЗ.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результате, расходы по данному договору признаны экономически обоснованными в размере 372 458,00 руб., на том же уровне, поскольку сформированные департаментом расходы не превышают рассчитанный на основании требований п. 27, п.п. 5 п. 28 Основ ценообразования экономически обоснованный размер и установленную указанным договором величину арендной платы. </w:t>
      </w:r>
    </w:p>
    <w:p w:rsidR="008040E8" w:rsidRPr="00B806A7" w:rsidRDefault="008040E8" w:rsidP="008040E8">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Договор аренды № 32-2018/А от 01.07.2018</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аренды № 32-2018/А от 01.07.2018, заключенному с ООО «Альянс НСК» в размере 273 053,07 руб., на уровне установленной указанным договором аренды величины арендной платы.</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по арендной плате по указанному договору организацией представлен расчет арендной платы в размере 273 053,07 руб., в том числе амортизационные отчисления -254 296,83 руб., налог на имущество - 18 756,24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По расчету ООО «НГСК» сумма амортизационных отчислений по предусмотренным указанным договором объектам электросетевого хозяйства рассчитана в размере                                     254 296,83 руб. в разрезе объектов исходя из первоначальной стоимости арендуемых объектов и СПИ, предусмотренными первичными данными бухгалтерского учета предыдущего собственника (ООО «НЭСК»), с учетом пересчета СПИ по одному объекту.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по амортизационным отчислениям организацией также были представлены инвентарные карточки объектов основных средств ООО «НЭСК».</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анализа инвентарных карточек объектов основных средств ООО «НЭСК» и ООО «Альянс НСК» на соответствие отнесения активов к соответствующей амортизационной группе, предусмотренной Классификатором, применяемого СПИ, а также определения остаточной стоимости ООО «Альянс НСК» департаментом установлено:</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представленных инвентарных карточках ООО «НЭСК» отражены данные по первоначальной стоимости, амортизационные группы определены в соответствии с Классификатором, установленный ООО «НЭСК» СПИ соответствует максимальному СПИ, установленному Классификатором, за исключением объекта Электрооборудование ТП-4623;</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представленных инвентарных карточках ООО «Альянс НСК» отражены данные по остаточной стоимости и остаточным СПИ, определенные с учетом фактического СПИ предыдущего собственника, за исключением одного объекта, а именно из 16 позиций объектов основных средств, участвующих в расчете амортизационных отчислений, по объекту нежилое здание ТП-4623, кадастровый номер: 54:35:074576:1289 остаточная стоимость с учетом фактического срока предыдущего собственника определена ООО «Альянс НСК» выше, чем у ООО «НЭСК»;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-данные о переоценке в инвентарных карточках отсутствуют.</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Таким образом, департаментом установлено, что амортизационные отчисления по остаточной стоимости и остаточному СПИ определены собственником ООО «Альянс НСК» по вышеуказанному объекту некорректно, поскольку привели к завышению балансовой стоимости, следовательно, амортизационные отчисления по нему подлежали перерасчету и были приняты по заявке организации, рассчитанной по первоначальной стоимости объектов.</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целях недопущения увеличения амортизационных отчисления при формировании плановой величины арендной платы специалистом департамента при расчете амортизационных отчислений учитывалась первоначальная стоимость и СПИ, подтвержденные первичными данными бухгалтерского учета предыдущего собственника (ООО «НЭСК»), с учетом пересчета максимального СПИ - 240 месяцев для седьмой амортизационной группы по оборудованию       ТП-4623.</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Сравнительный анализ первоначальной стоимости и первоначального СПИ и остаточной стоимости и остаточного СПИ, а также данных принятых в расчет амортизационных отчислений отражен в приложении к настоящему заключению (Приложение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целом по всем предусмотренным указанным договором объектам электросетевого хозяйства сумма амортизационных отчислений рассчитана: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-исходя из установленных ООО «НЭСК» первоначальной стоимости и первоначального СПИ, которая составила в месяц 25 392,20 руб. (в год 254 296,83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-исходя из установленных ООО «Альянс НСК» остаточной стоимости и остаточного СПИ, которая составила в месяц 25 395,08 руб. (в год304 741,01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экспертизы представленных обосновывающих материалов специалистом департамента признаны экономически обоснованными расходы по арендной плате по договору аренды № 32-2018/А от 01.07.2018 в размере 273 053,07 руб., в том числе:</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расходы на амортизационные отчисления в размере 254 296,83 руб. согласно расчету организации, выполненному в разрезе объектов исходя из первоначальной стоимости арендуемых объектов предыдущим собственником и применения максимальных СПИ, установленных Классификатором для амортизационных групп, что не привело к завышению амортизационных отчислений;</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расходы по налогу на имущество в размере 18 756,24 руб., рассчитанные исходя из среднегодовой остаточной стоимости и налоговой ставки в размере 2,2%. Величина налоговой ставки учтена в соответствии с подпунктом 1) статьи 4.2 Закона Новосибирской области от 16 октября 2003 № 142-ОЗ.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результате, расходы по данному договору признаны экономически обоснованными в размере 273 053,07 руб., на том же уровне, поскольку сформированные департаментом расходы не превышают рассчитанный на основании требований п. 27, п.п. 5 п. 28 Основ ценообразования экономически обоснованный размер и установленную указанным договором величину арендной платы. </w:t>
      </w:r>
    </w:p>
    <w:p w:rsidR="008040E8" w:rsidRPr="00B806A7" w:rsidRDefault="008040E8" w:rsidP="008040E8">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Договор аренды № 03-2021/А от 01.02.2021</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аренды № 03-2021/А от 01.02.2021, заключенному с ООО «Альянс НСК», в размере 407 081,94 руб., на уровне установленной указанным договором аренды величины арендной платы.</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по арендной плате по указанному договору организацией представлен расчет арендной платы в размере 407 081,94 руб., в том числе амортизационные отчисления - 355 723,93 руб., налог на имущество - 51 358,01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расчету ООО «НГСК» сумма амортизационных отчислений по предусмотренным указанным договором объектам электросетевого хозяйства рассчитана в размере                                     355 723,93 руб. в разрезе объектов исходя из первоначальной стоимости арендуемых объектов и СПИ, предусмотренными первичными данными бухгалтерского учета предыдущего собственника (ООО «НОВЭЛС»).</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по амортизационным отчислениям организацией также были представлены инвентарные карточки объектов основных средств ООО «НОВЭЛС».</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анализа инвентарных карточек объектов основных средств ООО «НОВЭЛС» и ООО «Альянс НСК» на соответствие отнесения активов к соответствующей амортизационной группе, предусмотренной Классификатором, применяемого СПИ, а также определения остаточной стоимости ООО «Альянс НСК» департаментом установлено:</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представленных инвентарных карточках ООО «НОВЭЛС» отражены данные по первоначальной стоимости, амортизационные группы определены в соответствии с Классификатором, установленный ООО «НОВЭЛС» СПИ соответствует максимальному СПИ, установленному Классификатором;</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представленных инвентарных карточках ООО «Альянс НСК» отражены данные по остаточной стоимости и остаточным СПИ, определенные с учетом фактического СПИ предыдущего собственника, за исключением одного объекта, а именно из 7 позиций объектов основных средств, участвующих в расчете амортизационных отчислений, по объекту Здание трансформаторной подстанции ТП-4550, Площадь 59.6 м2, кадастровый номер: 54:35:071140:112 остаточная стоимость с учетом фактического срока предыдущего собственника определена ООО «Альянс НСК» выше, чем у ООО «НЭСК»;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-данные о переоценке в инвентарных карточках отсутствуют.</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Таким образом, департаментом установлено, что амортизационные отчисления по остаточной стоимости и остаточному СПИ определены собственником ООО «Альянс НСК» по вышеуказанному объекту некорректно, поскольку привели к завышению балансовой стоимости, следовательно, амортизационные отчисления по нему подлежали перерасчету и были приняты по заявке организации, рассчитанной по первоначальной стоимости объектов.</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целях недопущения увеличения амортизационных отчисления при формировании плановой величины арендной платы специалистом департамента при расчете амортизационных отчислений учитывалась первоначальная стоимость и СПИ, подтвержденные первичными данными бухгалтерского учета предыдущего собственника (ООО «НОВЭЛС»).</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Сравнительный анализ первоначальной стоимости и первоначального СПИ и остаточной стоимости и остаточного СПИ, а также данных принятых в расчет амортизационных отчислений отражен в приложении к настоящему заключению (Приложение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целом по всем предусмотренным указанным договором объектам электросетевого хозяйства сумма амортизационных отчислений рассчитана: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-исходя из установленных ООО «НОВЭЛС» первоначальной стоимости и первоначального СПИ, которая составила в месяц 29 643,66 руб. (в год 355 723,93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-исходя из установленных ООО «Альянс НСК» остаточной стоимости и остаточного СПИ, которая составила в месяц 32 549,54 руб. (в год 390 594,45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экспертизы представленных обосновывающих материалов специалистом департамента признаны экономически обоснованными расходы по арендной плате по договору аренды № 03-2021/А от 01.02.2021 в размере 407 081,94 руб., в том числе:</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расходы на амортизационные отчисления в размере 355 723,93 руб. согласно расчету организации, выполненному в разрезе объектов исходя из первоначальной стоимости арендуемых объектов предыдущим собственником и применения максимальных СПИ, установленных Классификатором для амортизационных групп, что не привело к завышению амортизационных отчислений;</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расходы по налогу на имущество в размере 51 358,01 руб., рассчитанные исходя из среднегодовой остаточной стоимости и налоговой ставки в размере 2,2%. Величина налоговой ставки учтена в соответствии с подпунктом 1) статьи 4.2 Закона Новосибирской области от 16 октября 2003 № 142-ОЗ.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результате, расходы по данному договору признаны экономически обоснованными в размере 407 081,94 руб., на том же уровне, поскольку сформированные департаментом расходы не превышают рассчитанный на основании требований п. 27, п.п. 5 п. 28 Основ ценообразования экономически обоснованный размер и установленную указанным договором величину арендной платы. </w:t>
      </w:r>
    </w:p>
    <w:p w:rsidR="008040E8" w:rsidRPr="00B806A7" w:rsidRDefault="008040E8" w:rsidP="008040E8">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Договор аренды № 04-2021/А от 01.02.2021</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аренды № 04-2021/А от 01.02.2021, заключенному с ООО «Альянс НСК», в размере 1 545 947,16 руб., на уровне установленной указанным договором аренды величины арендной платы.</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по арендной плате по указанному договору организацией представлен расчет арендной платы в размере 1 545 947,16 руб., в том числе амортизационные отчисления - 1 440 298,58 руб., земельный налог - 60 627,33 руб., налог на имущество -                            45 021,25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расчету ООО «НГСК» сумма амортизационных отчислений по предусмотренным указанным договором объектам электросетевого хозяйства рассчитана в размере                                     1 440 298,58 руб. в разрезе объектов исходя из первоначальной стоимости арендуемых объектов и СПИ, предусмотренными первичными данными бухгалтерского учета предыдущего собственника (ООО «Инженерная инфраструктура»).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по амортизационным отчислениям организацией также были представлены инвентарные карточки объектов основных средств ООО «Инженерная инфраструктура».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анализа инвентарных карточек объектов основных средств ООО «Инженерная инфраструктура» и ООО «Альянс НСК» на соответствие отнесения активов к соответствующей амортизационной группе, предусмотренной Классификатором, применяемого СПИ, а также определения остаточной стоимости ООО «Альянс НСК» департаментом установлено:</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представленных инвентарных карточках ООО «Инженерная инфраструктура» отражены данные по первоначальной стоимости, амортизационные группы определены в соответствии с Классификатором, установленный ООО «Инженерная инфраструктура» СПИ соответствует максимальному СПИ, установленному Классификатором;</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представленных инвентарных карточках ООО «Альянс НСК» отражены данные по остаточной стоимости и остаточным СПИ, определенные с учетом фактического СПИ предыдущего собственника, за исключением одного объекта, а именно из 15 позиций объектов основных средств, участвующих в расчете амортизационных отчислений, по объекту с инвентарным номером 00-001159 (Помещение ТП, назначение здание: нежилое, площадь общая 54,6 кв.) остаточная стоимость с учетом фактического срока предыдущего собственника определена ООО «Альянс НСК» выше, чем у ООО «Инженерная инфраструктура»;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-данные о переоценке в инвентарных карточках отсутствуют.</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Таким образом, департаментом установлено, что амортизационные отчисления по остаточной стоимости и остаточному СПИ определены собственником ООО «Альянс НСК» по вышеуказанному объекту некорректно, поскольку привели к завышению балансовой стоимости, следовательно, амортизационные отчисления по нему подлежали перерасчету и были приняты по заявке организации, рассчитанной по первоначальной стоимости объектов.</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целях недопущения увеличения амортизационных отчисления при формировании плановой величины арендной платы специалистом департамента при расчете амортизационных отчислений учитывалась первоначальная стоимость и СПИ, подтвержденные первичными данными бухгалтерского учета предыдущего собственника (ООО «Инженерная инфраструктура»).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Сравнительный анализ первоначальной стоимости и первоначального СПИ и остаточной стоимости и остаточного СПИ, а также данных принятых в расчет амортизационных отчислений отражен в приложении к настоящему заключению (Приложение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целом по всем предусмотренным указанным договором объектам электросетевого хозяйства сумма амортизационных отчислений рассчитана: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-исходя из установленных ООО «Инженерная инфраструктура» первоначальной стоимости и первоначального СПИ, которая составила в месяц  120 024,88 руб. (в год                                 1 440 298,58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-исходя из установленных ООО «Альянс НСК» остаточной стоимости и остаточного СПИ, которая составила в месяц 120 036,14 руб. (в год 1 440 433,71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экспертизы представленных обосновывающих материалов специалистом департамента признаны экономически обоснованными расходы по арендной плате по договору аренды № 04-2021/А от 01.02.2021 в размере 1 545 947,16 руб., в том числе:</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расходы на амортизационные отчисления в размере 1 440 298,58 руб. согласно расчету организации, выполненному в разрезе объектов исходя из первоначальной стоимости арендуемых объектов предыдущим собственником и применения максимальных СПИ, установленных Классификатором для амортизационных групп, что не привело к завышению амортизационных отчислений;</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расходы по налогу на имущество в размере 45 021,25 руб., рассчитанные исходя из среднегодовой остаточной стоимости и налоговой ставки в размере 2,2%. Величина налоговой ставки учтена в соответствии с подпунктом 1) статьи 4.2 Закона Новосибирской области от 16 октября 2003 № 142-ОЗ;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расходы по налогу на землю в размере 60 627,33 руб., рассчитанные исходя из кадастровой стоимости земельных участков и налоговой ставки 1,5%.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результате, расходы по данному договору признаны экономически обоснованными в размере 1 545 947,16 руб., на том же уровне, поскольку сформированные департаментом расходы не превышают рассчитанный на основании требований п. 27, п.п. 5 п. 28 Основ ценообразования экономически обоснованный размер и установленную указанным договором величину арендной платы. </w:t>
      </w:r>
    </w:p>
    <w:p w:rsidR="008040E8" w:rsidRPr="00B806A7" w:rsidRDefault="008040E8" w:rsidP="008040E8">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Договор аренды № 36-2021/А от 14.12.2021</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ООО «НГСК» заявлены расходы по арендной плате по договору аренды № 36-2021/А от 14.12.2021, заключенному с ООО «Единая Энергосистема», в размере 3 680 727,97 руб.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по арендной плате по указанному договору организацией представлен расчет арендной платы в размере 3 680 727,97 руб., в том числе амортизационные отчисления - 3 631 477,58 руб., налог на имущество - 48 907,97 руб., налог на землю 342,42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расчету ООО «НГСК» сумма амортизационных отчислений по предусмотренным указанным договором объектам электросетевого хозяйства рассчитана в размере                                     3 631 477,58 руб. в разрезе объектов исходя из первоначальной стоимости арендуемых объектов и СПИ, предусмотренными первичными данными бухгалтерского учета предыдущего собственника (ООО «Альянс НСК»), за исключением одного объекта - здание распределительного пункта со встроенной трансформаторной подстанцией, РТП "Сибиряк" РУ-10кВ, площадь 65,2 кв.м., кадастровый номер: 54:32:010876:1941.</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дополнительно запрошены документы бухгалтерского учета, подтверждающие начисление собственником амортизации за 2022-2023 (ведомости амортизации, карточки счетов: 01 «основные средства», 02 «Амортизация основных средств» за указанный период).</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указанным документам начисление амортизации за 2022 год составило                   3 631 253,04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по амортизационным отчислениям организацией также были представлены инвентарные карточки объектов основных средств ООО «Альянс НСК».</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анализа инвентарных карточек объектов основных средств ООО «Альянс НСК» и ООО «Единая Энергосистема» на соответствие отнесения активов к соответствующей амортизационной группе, предусмотренной Классификатором, применяемого СПИ, а также определения остаточной стоимости ООО «Альянс НСК» департаментом установлено:</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представленных инвентарных карточках ООО «Альянс НСК» отражены данные по первоначальной стоимости, амортизационные группы определены в соответствии с Классификатором; установленные ООО Альянс НСК» СПИ соответствует максимальным СПИ, установленным Классификатором;</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представленных инвентарных карточках ООО «Единая Энергосистема» отражены данные по остаточной стоимости и остаточным СПИ, определенные с учетом фактического СПИ предыдущего собственника;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-данные о переоценке в инвентарных карточках отсутствуют.</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По результатам проведения дополнительного анализа на соответствие представленного расчета ООО «НГСК» по амортизационным отчислениям в размере 3 631 477,58 руб. первичным данным бухгалтерского учета ООО «Альянс НСК» департаментом установлено, что в указанном расчете применены некорректные данные по одному объекту (здание распределительного пункта со встроенной трансформаторной подстанцией, РТП "Сибиряк" РУ-10кВ, площадь 65,2 кв.м., кадастровый номер: 54:32:010876:1941) как в части стоимости                      (2 431 926,57 руб.) так и СПИ (360 месяцев).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целях устранения допущенной ошибки специалистом департамента пересмотрен расчет амортизационных отчислений по указанному объекту, а именно расходы сформированы исходя из первоначальной стоимости в размере 2 431 925,57 руб. и первоначального СПИ (361 месяц), установленного для десятой амортизационной группы.</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Сравнительный анализ первоначальной стоимости и первоначального СПИ, остаточной стоимости и остаточного СПИ, а также данных принятых в расчет амортизационных отчислений с учетом пересмотра расходов по арендной плате по указанному договору отражен в приложении к настоящему заключению (Приложение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целом по всем предусмотренным указанным договором объектам электросетевого хозяйства сумма амортизационных отчислений рассчитана: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-исходя из установленных ООО «Альянс НСК» первоначальной стоимости и первоначального СПИ, которая составила в месяц 302 604,42 руб. (в год 3 631 252,99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-исходя из установленных ООО «Единая Энергосистема» остаточной стоимости и остаточного СПИ, которая составила в месяц 302 604,42 руб. (в год 3 631 252,99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экспертизы представленных обосновывающих материалов специалистом департамента пересмотрены расходы по арендной плате по договору аренды № 36-2021/А от 14.12.2021 в размере 3 680 503,38 руб., в том числе:</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расходы на амортизационные отчисления в размере 3 631 252,99 руб., выполненному в разрезе объектов исходя из первоначальной стоимости арендуемых объектов предыдущим собственником и применения максимальных СПИ, установленных Классификатором для амортизационных групп, что не привело к завышению амортизационных отчислений;</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расходы по налогу на имущество в размере 48 907,97 руб., рассчитанные исходя из среднегодовой остаточной стоимости в размере 2 223 089,73 руб. и налоговой ставки в размере 2,2%. Величина налоговой ставки учтена в соответствии с подпунктом 1) статьи 4.2 Закона Новосибирской области от 16 октября 2003 № 142-ОЗ;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расходы по налогу на землю в размере 342,42 руб., по заявке организации, рассчитанные исходя из стоимости земельного участка и налоговой ставки в размере 1,5% (величина налоговой ставки учтена в соответствии с решением Бердского городского Совета депутатов от 10 ноября 2011 № 93), что не превышает экономически обоснованного размера расходов по налогу на землю, рассчитанного в размере 11 640,7 руб. исходя из кадастровой стоимости в размере 776 049,01 руб., подтвержденной сведениями из Фонда данных государственной кадастровой оценки Федеральной службы государственной регистрации, кадастра и картографии (https://rosreestr.gov.ru/wps/portal/cc_ib_svedFDGKO).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результате пересмотра расходов по арендной плате по указанному договору в составе НВВ ООО «НГСК» на 2024 год подлежат учету расходы в размере 3 680 503,38 руб., сформированные на основании требований п. 27, п.п. 5 п. 28 Основ ценообразования; сокращение от установленной департаментом величины составило 224,59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Аналогичным образом подлежат пересмотру расходы по арендной плате по указанному договору на 2023 год в размере 3 681 939,44 руб., сокращение от тарифно-балансового решения составило 224,59 руб. </w:t>
      </w:r>
    </w:p>
    <w:p w:rsidR="008040E8" w:rsidRPr="00B806A7" w:rsidRDefault="008040E8" w:rsidP="008040E8">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Договор аренды № 134-2019 от 05.12.2019</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аренды № 134-2019 от 05.12.2019, заключенному с ООО «Альянс НСК», в размере 920 920,02 руб., на уровне установленной указанным договором аренды величины арендной платы.</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по арендной плате по указанному договору организацией представлен расчет арендной платы в размере 920 920,02 руб., в том числе амортизационные отчисления - 786 027,43 руб., налог на имущество - 134 892,59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расчету ООО «НГСК» сумма амортизационных отчислений по предусмотренным указанным договором объектам электросетевого хозяйства сформирована в размере                                     786 027,43 руб. в разрезе объектов исходя из первоначальной стоимости арендуемых объектов и СПИ, предусмотренными первичными данными бухгалтерского учета предыдущего собственника (ООО «НОВЭЛС»).</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по амортизационным отчислениям организацией также были представлены инвентарные карточки объектов основных средств ООО «НОВЭЛС».</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анализа инвентарных карточек объектов основных средств ООО «НОВЭЛС» и ООО «Альянс НСК» на соответствие отнесения активов к соответствующей амортизационной группе, предусмотренной Классификатором, применяемого СПИ, а также определения остаточной стоимости ООО «Альянс НСК» департаментом установлено:</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представленных инвентарных карточках ООО «НОВЭЛС» отражены данные по первоначальной стоимости, амортизационные группы определены в соответствии с Классификатором, установленные ООО «НОВЭЛС» СПИ соответствуют максимальным СПИ, установленным Классификатором;</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представленных инвентарных карточках ООО «Альянс НСК» отражены данные по остаточной стоимости и остаточным СПИ, определенные с учетом фактического СПИ предыдущего собственника;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-данные о переоценке в инвентарных карточках отсутствуют.</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Сравнительный анализ первоначальной стоимости и первоначального СПИ, остаточной стоимости и остаточного СПИ, а также данных принятых в расчет амортизационных отчислений отражен в приложении к настоящему заключению (Приложение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целом по всем предусмотренным указанным договором объектам электросетевого хозяйства сумма амортизационных отчислений рассчитана: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-исходя из установленных ООО «НОВЭЛС» первоначальной стоимости и первоначального СПИ, которая составила в месяц 65 502,29 руб. (в год 786 027,43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-исходя из установленных ООО «Альянс НСК» остаточной стоимости и остаточного СПИ, которая составила в месяц 65 502,29 руб. (в год 786 027,43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экспертизы представленных обосновывающих материалов специалистом департамента признаны экономически обоснованными расходы по арендной плате по договору аренды № 134-2019 от 05.12.2019 в размере 920 920,02 руб., в том числе:</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расходы на амортизационные отчисления в размере 786 027,43 руб. согласно расчету организации, выполненному в разрезе объектов исходя из первоначальной стоимости арендуемых объектов предыдущим собственником и применения максимальных СПИ, установленных Классификатором для амортизационных групп, что не привело к завышению амортизационных отчислений;</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расходы по налогу на имущество в размере 134 892,59 руб., рассчитанные исходя из среднегодовой остаточной стоимости и налоговой ставки в размере 2,2%. Величина налоговой ставки учтена в соответствии с подпунктом 1) статьи 4.2 Закона Новосибирской области от 16 октября 2003 № 142-ОЗ.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результате, расходы по данному договору признаны экономически обоснованными в размере 920 920,02 руб., на том же уровне, поскольку сформированные департаментом расходы не превышают рассчитанный на основании требований п. 27, п.п. 5 п. 28 Основ ценообразования экономически обоснованный размер и установленную указанным договором величину арендной платы. </w:t>
      </w:r>
    </w:p>
    <w:p w:rsidR="008040E8" w:rsidRPr="00B806A7" w:rsidRDefault="008040E8" w:rsidP="008040E8">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Договор аренды № 44-2020/А от 01.05.2020</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аренды № 44-2020/А от 01.05.2020, заключенному с ООО «Альянс НСК», в размере 601 404,99 руб., на уровне установленной указанным договором аренды величины арендной платы.</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по арендной плате по указанному договору организацией представлен расчет арендной платы в размере 601 404,99 руб., в том числе амортизационные отчисления - 461 486,24 руб., налог на имущество - 139 918,75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расчету ООО «НГСК» сумма амортизационных отчислений по предусмотренным указанным договором объектам электросетевого хозяйства сформирована в размере                                     461 486,24 руб. в разрезе объектов исходя из первоначальной стоимости арендуемых объектов и СПИ, предусмотренными первичными данными бухгалтерского учета предыдущего собственника (ООО «Инженерная инфраструктура»).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по амортизационным отчислениям организацией также были представлены инвентарные карточки объектов основных средств ООО «Инженерная инфраструктура».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анализа инвентарных карточек объектов основных средств ООО «Инженерная инфраструктура» и ООО «Альянс НСК» на соответствие отнесения активов к соответствующей амортизационной группе, предусмотренной Классификатором, применяемого СПИ, а также определения остаточной стоимости ООО «Альянс НСК» департаментом установлено:</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представленных инвентарных карточках ООО «Инженерная инфраструктура» отражены данные по первоначальной стоимости, амортизационные группы определены в соответствии с Классификатором, установленные ООО «Инженерная инфраструктура» СПИ соответствуют максимальным СПИ, установленным Классификатором;</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представленных инвентарных карточках ООО «Альянс НСК» отражены данные по остаточной стоимости и остаточным СПИ, определенные с учетом фактического СПИ предыдущего собственника;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-данные о переоценке в инвентарных карточках отсутствуют.</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Сравнительный анализ первоначальной стоимости и первоначального СПИ, остаточной стоимости и остаточного СПИ, а также данных принятых в расчет амортизационных отчислений отражен в приложении к настоящему заключению (Приложение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целом по всем предусмотренным указанным договором объектам электросетевого хозяйства сумма амортизационных отчислений рассчитана:</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-исходя из установленных ООО «Инженерная инфраструктура» первоначальной стоимости и первоначального СПИ, которая составила в месяц 38 457,19 руб. (в год                           461 486,24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-исходя из установленных ООО «Альянс НСК» остаточной стоимости и остаточного СПИ, которая составила в месяц 38 457,19 руб. (в год 461 486,24 руб.).</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экспертизы представленных обосновывающих материалов специалистом департамента признаны экономически обоснованными расходы по арендной плате по договору аренды № 44-2020/А от 01.05.2020 в размере 601 404,99 руб., в том числе:</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расходы на амортизационные отчисления в размере 461 486,24 руб. согласно расчету организации, выполненному в разрезе объектов исходя из первоначальной стоимости арендуемых объектов предыдущим собственником и применения максимальных СПИ, установленных Классификатором для амортизационных групп, что не привело к завышению амортизационных отчислений;</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расходы по налогу на имущество в размере 139 918,75 руб., рассчитанные исходя из среднегодовой остаточной стоимости и налоговой ставки в размере 2,2%. Величина налоговой ставки учтена в соответствии с подпунктом 1) статьи 4.2 Закона Новосибирской области от 16 октября 2003 № 142-ОЗ.       </w:t>
      </w:r>
    </w:p>
    <w:p w:rsidR="008040E8" w:rsidRPr="00B806A7" w:rsidRDefault="008040E8" w:rsidP="008040E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результате, расходы по данному договору признаны экономически обоснованными в размере 601 404,99 руб., на том же уровне, поскольку сформированные департаментом расходы не превышают рассчитанный на основании требований п. 27, п.п. 5 п. 28 Основ ценообразования экономически обоснованный размер и установленную указанным договором величину арендной платы.</w:t>
      </w:r>
    </w:p>
    <w:p w:rsidR="00251058" w:rsidRPr="00B806A7" w:rsidRDefault="00251058" w:rsidP="00251058">
      <w:pPr>
        <w:spacing w:after="0"/>
        <w:ind w:firstLine="708"/>
        <w:jc w:val="both"/>
        <w:rPr>
          <w:rFonts w:ascii="Times New Roman" w:hAnsi="Times New Roman"/>
          <w:sz w:val="24"/>
          <w:szCs w:val="24"/>
        </w:rPr>
      </w:pPr>
      <w:r w:rsidRPr="00B806A7">
        <w:rPr>
          <w:rFonts w:ascii="Times New Roman" w:hAnsi="Times New Roman"/>
          <w:sz w:val="24"/>
          <w:szCs w:val="24"/>
        </w:rPr>
        <w:t>Относительно подпункта 2 пункта 2.1.1. мотивировочной части Предписания, касающегося договора аренды № 06-2022/А от 01.07.2022, департаментом установлено следующее.</w:t>
      </w:r>
    </w:p>
    <w:p w:rsidR="00251058" w:rsidRPr="00B806A7" w:rsidRDefault="00251058" w:rsidP="00251058">
      <w:pPr>
        <w:spacing w:after="0"/>
        <w:ind w:firstLine="708"/>
        <w:jc w:val="both"/>
        <w:rPr>
          <w:rFonts w:ascii="Times New Roman" w:hAnsi="Times New Roman"/>
          <w:sz w:val="24"/>
          <w:szCs w:val="24"/>
        </w:rPr>
      </w:pPr>
      <w:r w:rsidRPr="00B806A7">
        <w:rPr>
          <w:rFonts w:ascii="Times New Roman" w:hAnsi="Times New Roman"/>
          <w:sz w:val="24"/>
          <w:szCs w:val="24"/>
        </w:rPr>
        <w:t>До проведения заседания Комиссии ФАС России по рассмотрению результатов проверки ООО «НГСК», состоявшейся 06.02.2025 департамент письмом от 06.02.2025 № 207-08/33 направил в ФАС России пояснения относительно изменения первоначальной стоимости объектов электросетевого хозяйства, находящихся во владении ООО «НГСК» на основании договора аренды № 06-2022/А от 01.07.2022.</w:t>
      </w:r>
    </w:p>
    <w:p w:rsidR="00251058" w:rsidRPr="00B806A7" w:rsidRDefault="00251058" w:rsidP="00251058">
      <w:pPr>
        <w:spacing w:after="0"/>
        <w:ind w:firstLine="708"/>
        <w:jc w:val="both"/>
        <w:rPr>
          <w:rFonts w:ascii="Times New Roman" w:hAnsi="Times New Roman"/>
          <w:sz w:val="24"/>
          <w:szCs w:val="24"/>
        </w:rPr>
      </w:pPr>
      <w:r w:rsidRPr="00B806A7">
        <w:rPr>
          <w:rFonts w:ascii="Times New Roman" w:hAnsi="Times New Roman"/>
          <w:sz w:val="24"/>
          <w:szCs w:val="24"/>
        </w:rPr>
        <w:t>В ходе заседания Комиссии ФАС России по рассмотрению результатов проверки ООО «НГСК» представили ФАС России отметили недопустимость учета при установлении тарифов на услуги по передаче электрической энергии увеличения первоначальной стоимости объектов электросетевого хозяйства, если такое увеличение произошло не по результатам реализации инвестиционных проектов, включенных в регулируемые цены (тарифы).</w:t>
      </w:r>
    </w:p>
    <w:p w:rsidR="00251058" w:rsidRPr="00B806A7" w:rsidRDefault="00251058" w:rsidP="00251058">
      <w:pPr>
        <w:spacing w:after="0"/>
        <w:ind w:firstLine="708"/>
        <w:jc w:val="both"/>
        <w:rPr>
          <w:rFonts w:ascii="Times New Roman" w:hAnsi="Times New Roman"/>
          <w:sz w:val="24"/>
          <w:szCs w:val="24"/>
        </w:rPr>
      </w:pPr>
      <w:r w:rsidRPr="00B806A7">
        <w:rPr>
          <w:rFonts w:ascii="Times New Roman" w:hAnsi="Times New Roman"/>
          <w:sz w:val="24"/>
          <w:szCs w:val="24"/>
        </w:rPr>
        <w:t>В ответ на письмо департамента от 06.02.2025 № 207-08/33  ФАС России письмом от 04.03.2025 № СП/18938/25 сообщила о необходимости проведения дополнительного анализа и расчета показателей, учтенных департаментом по статье «Плата за аренду имущества и лизинг».</w:t>
      </w:r>
    </w:p>
    <w:p w:rsidR="00251058" w:rsidRPr="00B806A7" w:rsidRDefault="00251058" w:rsidP="00251058">
      <w:pPr>
        <w:spacing w:after="0"/>
        <w:ind w:firstLine="708"/>
        <w:jc w:val="both"/>
        <w:rPr>
          <w:rFonts w:ascii="Times New Roman" w:hAnsi="Times New Roman"/>
          <w:sz w:val="24"/>
          <w:szCs w:val="24"/>
        </w:rPr>
      </w:pPr>
      <w:r w:rsidRPr="00B806A7">
        <w:rPr>
          <w:rFonts w:ascii="Times New Roman" w:hAnsi="Times New Roman"/>
          <w:sz w:val="24"/>
          <w:szCs w:val="24"/>
        </w:rPr>
        <w:t>В Предписании ФАС России ссылается на пункт 27 Основ ценообразования, который содержит следующую норму:</w:t>
      </w:r>
    </w:p>
    <w:p w:rsidR="00251058" w:rsidRPr="00B806A7" w:rsidRDefault="00251058" w:rsidP="00251058">
      <w:pPr>
        <w:spacing w:after="0"/>
        <w:ind w:firstLine="708"/>
        <w:jc w:val="both"/>
        <w:rPr>
          <w:rFonts w:ascii="Times New Roman" w:hAnsi="Times New Roman"/>
          <w:sz w:val="24"/>
          <w:szCs w:val="24"/>
        </w:rPr>
      </w:pPr>
      <w:r w:rsidRPr="00B806A7">
        <w:rPr>
          <w:rFonts w:ascii="Times New Roman" w:hAnsi="Times New Roman"/>
          <w:sz w:val="24"/>
          <w:szCs w:val="24"/>
        </w:rPr>
        <w:t>«Результаты переоценки основных средств и нематериальных активов, осуществленной в порядке, установленном законодательством Российской Федерации о бухгалтерском учете, учитываются при расчете экономически обоснованного размера расходов на амортизацию при условии, что учитываемые в составе необходимой валовой выручки расходы на амортизацию являются источником финансирования мероприятий утвержденной в установленном порядке инвестиционной программы организации.»</w:t>
      </w:r>
    </w:p>
    <w:p w:rsidR="00251058" w:rsidRPr="00B806A7" w:rsidRDefault="00251058" w:rsidP="00251058">
      <w:pPr>
        <w:spacing w:after="0"/>
        <w:ind w:firstLine="708"/>
        <w:jc w:val="both"/>
        <w:rPr>
          <w:rFonts w:ascii="Times New Roman" w:hAnsi="Times New Roman"/>
          <w:sz w:val="24"/>
          <w:szCs w:val="24"/>
        </w:rPr>
      </w:pPr>
      <w:r w:rsidRPr="00B806A7">
        <w:rPr>
          <w:rFonts w:ascii="Times New Roman" w:hAnsi="Times New Roman"/>
          <w:sz w:val="24"/>
          <w:szCs w:val="24"/>
        </w:rPr>
        <w:t>По результатам проведенного департаментом анализа в отношении указанного договора установлено следующее.</w:t>
      </w:r>
    </w:p>
    <w:p w:rsidR="00251058" w:rsidRPr="00B806A7" w:rsidRDefault="00251058" w:rsidP="00251058">
      <w:pPr>
        <w:spacing w:after="0"/>
        <w:ind w:firstLine="708"/>
        <w:jc w:val="both"/>
        <w:rPr>
          <w:rFonts w:ascii="Times New Roman" w:hAnsi="Times New Roman"/>
          <w:sz w:val="24"/>
          <w:szCs w:val="24"/>
        </w:rPr>
      </w:pPr>
      <w:r w:rsidRPr="00B806A7">
        <w:rPr>
          <w:rFonts w:ascii="Times New Roman" w:hAnsi="Times New Roman"/>
          <w:sz w:val="24"/>
          <w:szCs w:val="24"/>
        </w:rPr>
        <w:t>Согласно пункту 27 Основ ценообразования расходы на амортизацию основных средств и нематериальных активов для расчета регулируемых цен (тарифов) определяются в соответствии с нормативными правовыми актами, регулирующими отношения в сфере бухгалтерского учета.</w:t>
      </w:r>
    </w:p>
    <w:p w:rsidR="00251058" w:rsidRPr="00B806A7" w:rsidRDefault="00251058" w:rsidP="00251058">
      <w:pPr>
        <w:spacing w:after="0"/>
        <w:ind w:firstLine="708"/>
        <w:jc w:val="both"/>
        <w:rPr>
          <w:rFonts w:ascii="Times New Roman" w:hAnsi="Times New Roman"/>
          <w:sz w:val="24"/>
          <w:szCs w:val="24"/>
        </w:rPr>
      </w:pPr>
      <w:r w:rsidRPr="00B806A7">
        <w:rPr>
          <w:rFonts w:ascii="Times New Roman" w:hAnsi="Times New Roman"/>
          <w:sz w:val="24"/>
          <w:szCs w:val="24"/>
        </w:rPr>
        <w:t>Из представленных ООО «НГСК» материалов следует, что в отношении объектов электросетевого хозяйства, находящихся во владении ООО «НГСК» на основании договора аренды № 06-2022/А от 01.07.2022 переоценка не проводилась.</w:t>
      </w:r>
    </w:p>
    <w:p w:rsidR="00251058" w:rsidRPr="00B806A7" w:rsidRDefault="00251058" w:rsidP="00251058">
      <w:pPr>
        <w:spacing w:after="0"/>
        <w:ind w:firstLine="708"/>
        <w:jc w:val="both"/>
        <w:rPr>
          <w:rFonts w:ascii="Times New Roman" w:hAnsi="Times New Roman"/>
          <w:sz w:val="24"/>
          <w:szCs w:val="24"/>
        </w:rPr>
      </w:pPr>
      <w:r w:rsidRPr="00B806A7">
        <w:rPr>
          <w:rFonts w:ascii="Times New Roman" w:hAnsi="Times New Roman"/>
          <w:sz w:val="24"/>
          <w:szCs w:val="24"/>
        </w:rPr>
        <w:t xml:space="preserve">Указанные объекты электросетевого хозяйства впервые учтены департаментом при установлении тарифов на услуги по передаче электрической энергии </w:t>
      </w:r>
      <w:r w:rsidR="0001062A" w:rsidRPr="00B806A7">
        <w:rPr>
          <w:rFonts w:ascii="Times New Roman" w:hAnsi="Times New Roman"/>
          <w:sz w:val="24"/>
          <w:szCs w:val="24"/>
        </w:rPr>
        <w:t xml:space="preserve">для ООО «НГСК» </w:t>
      </w:r>
      <w:r w:rsidRPr="00B806A7">
        <w:rPr>
          <w:rFonts w:ascii="Times New Roman" w:hAnsi="Times New Roman"/>
          <w:sz w:val="24"/>
          <w:szCs w:val="24"/>
        </w:rPr>
        <w:t>на 2023 год на основании договора аренды № 06-2022/А от 01.07.2022.</w:t>
      </w:r>
    </w:p>
    <w:p w:rsidR="00251058" w:rsidRPr="00B806A7" w:rsidRDefault="00251058" w:rsidP="00251058">
      <w:pPr>
        <w:spacing w:after="0"/>
        <w:ind w:firstLine="708"/>
        <w:jc w:val="both"/>
        <w:rPr>
          <w:rFonts w:ascii="Times New Roman" w:hAnsi="Times New Roman"/>
          <w:sz w:val="24"/>
          <w:szCs w:val="24"/>
        </w:rPr>
      </w:pPr>
      <w:r w:rsidRPr="00B806A7">
        <w:rPr>
          <w:rFonts w:ascii="Times New Roman" w:hAnsi="Times New Roman"/>
          <w:sz w:val="24"/>
          <w:szCs w:val="24"/>
        </w:rPr>
        <w:t xml:space="preserve">При этом, до передачи указанных объектов ООО «НГСК» в </w:t>
      </w:r>
      <w:r w:rsidR="0001062A" w:rsidRPr="00B806A7">
        <w:rPr>
          <w:rFonts w:ascii="Times New Roman" w:hAnsi="Times New Roman"/>
          <w:sz w:val="24"/>
          <w:szCs w:val="24"/>
        </w:rPr>
        <w:t xml:space="preserve">течение </w:t>
      </w:r>
      <w:r w:rsidR="00DC4AF0" w:rsidRPr="00B806A7">
        <w:rPr>
          <w:rFonts w:ascii="Times New Roman" w:hAnsi="Times New Roman"/>
          <w:sz w:val="24"/>
          <w:szCs w:val="24"/>
        </w:rPr>
        <w:t xml:space="preserve">периода </w:t>
      </w:r>
      <w:r w:rsidR="0001062A" w:rsidRPr="00B806A7">
        <w:rPr>
          <w:rFonts w:ascii="Times New Roman" w:hAnsi="Times New Roman"/>
          <w:sz w:val="24"/>
          <w:szCs w:val="24"/>
        </w:rPr>
        <w:t>2013-2022</w:t>
      </w:r>
      <w:r w:rsidRPr="00B806A7">
        <w:rPr>
          <w:rFonts w:ascii="Times New Roman" w:hAnsi="Times New Roman"/>
          <w:sz w:val="24"/>
          <w:szCs w:val="24"/>
        </w:rPr>
        <w:t xml:space="preserve"> год</w:t>
      </w:r>
      <w:r w:rsidR="0001062A" w:rsidRPr="00B806A7">
        <w:rPr>
          <w:rFonts w:ascii="Times New Roman" w:hAnsi="Times New Roman"/>
          <w:sz w:val="24"/>
          <w:szCs w:val="24"/>
        </w:rPr>
        <w:t>ов</w:t>
      </w:r>
      <w:r w:rsidRPr="00B806A7">
        <w:rPr>
          <w:rFonts w:ascii="Times New Roman" w:hAnsi="Times New Roman"/>
          <w:sz w:val="24"/>
          <w:szCs w:val="24"/>
        </w:rPr>
        <w:t xml:space="preserve"> собственником объектов были проведены неотделимые улучшения путем создания системы дистанционного сбора информации о положении высоковольтных выключателей и измерения электрических параметров присоединений ООО «Энергоресурс». Стоимость указанных мероприятий собственником объектов в соответствии с нормативными правовыми актами, регулирующими отношения в сфере бухгалтерского учета, включена в первоначальную стоимость.</w:t>
      </w:r>
    </w:p>
    <w:p w:rsidR="00251058" w:rsidRPr="00B806A7" w:rsidRDefault="00251058" w:rsidP="00251058">
      <w:pPr>
        <w:spacing w:after="0"/>
        <w:ind w:firstLine="708"/>
        <w:jc w:val="both"/>
        <w:rPr>
          <w:rFonts w:ascii="Times New Roman" w:hAnsi="Times New Roman"/>
          <w:sz w:val="24"/>
          <w:szCs w:val="24"/>
        </w:rPr>
      </w:pPr>
      <w:r w:rsidRPr="00B806A7">
        <w:rPr>
          <w:rFonts w:ascii="Times New Roman" w:hAnsi="Times New Roman"/>
          <w:sz w:val="24"/>
          <w:szCs w:val="24"/>
        </w:rPr>
        <w:t>С учетом озвученной на заседания Комиссии ФАС России позиции департамент считает экономически обоснованным расчет арендной платы с учетом проведенной модернизации, поскольку она была проведена до того как объекты электросетевого хозяйства были переданы во владение ООО «НГСК» на основании договора аренды № 06-2022/А от 01.07.2022, и как следствие учтены при установлении тарифов на услуги по передаче электрической энергии.</w:t>
      </w:r>
    </w:p>
    <w:p w:rsidR="00DC4AF0" w:rsidRPr="00B806A7" w:rsidRDefault="00DC4AF0" w:rsidP="00251058">
      <w:pPr>
        <w:spacing w:after="0"/>
        <w:ind w:firstLine="708"/>
        <w:jc w:val="both"/>
        <w:rPr>
          <w:rFonts w:ascii="Times New Roman" w:hAnsi="Times New Roman"/>
          <w:sz w:val="24"/>
          <w:szCs w:val="24"/>
        </w:rPr>
      </w:pPr>
      <w:r w:rsidRPr="00B806A7">
        <w:rPr>
          <w:rFonts w:ascii="Times New Roman" w:hAnsi="Times New Roman"/>
          <w:sz w:val="24"/>
          <w:szCs w:val="24"/>
        </w:rPr>
        <w:t xml:space="preserve">Таким образом, департаментом признаны экономически обоснованными расходы по арендной плате на 2024 год в размере 1 759 456,84 руб., поскольку подтверждены документально, в том числе первичными данными бухгалтерского учета.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3. Договор аренды № 61-2019/А от 20.03.2019 и др.</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аренды № 61-2019/А от 20.03.2019 в размере 57 224,33 руб., на уровне установленной указанным договором аренды величины арендной платы.</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ООО «НГСК» представлен расчет арендной платы на сумму 57 224,33 руб., в том числе амортизация - 53 790,87 руб., обязательный платеж, связанный с владением имуществом, переданным в аренду - 3 433,46 руб.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проведен анализ представленных документов на предмет соответствия требованиям п. 27 и п.п. 5 п. 28 Основ ценообразования.</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составе обосновывающих материалов ООО «НГСК» представлена инвентарная карточка учета объекта основных средств - трансформаторная подстанция КТПН-3309 с восьмой амортизационной группой (имущество со сроком полезного использования свыше 20 лет до 25 лет включительно), СПИ - 241 мес., принята на учет 10.07.2014, первоначальная стоимость 1 080 300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Пункт 27 Основ ценообразования № 1178 содержит следующую норму: «</w:t>
      </w:r>
      <w:r w:rsidRPr="00B806A7">
        <w:rPr>
          <w:rFonts w:ascii="Times New Roman" w:eastAsia="Times New Roman" w:hAnsi="Times New Roman"/>
          <w:i/>
          <w:sz w:val="24"/>
          <w:szCs w:val="24"/>
          <w:lang w:eastAsia="ru-RU"/>
        </w:rPr>
        <w:t>При расчете экономически обоснованного размера амортизации на плановый период регулирования срок полезного использования активов и отнесение этих активов к соответствующей амортизационной группе определяется регулирующими органами в соответствии с максимальными сроками полезного использования, установленными Классификацией основных средств, включаемых в амортизационные группы, утвержденной постановлением Правительства Российской Федерации от 1 января 2002 г. N 1 "О Классификации основных средств, включаемых в амортизационные группы</w:t>
      </w:r>
      <w:r w:rsidRPr="00B806A7">
        <w:rPr>
          <w:rFonts w:ascii="Times New Roman" w:eastAsia="Times New Roman" w:hAnsi="Times New Roman"/>
          <w:sz w:val="24"/>
          <w:szCs w:val="24"/>
          <w:lang w:eastAsia="ru-RU"/>
        </w:rPr>
        <w:t>".</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Кроме того, при проведении экономического анализа плановых расходов по данной статье затрат на расчетный период регулирования, заявленных ООО «НГСК» в составе НВВ, департамент руководствовался аналогичной позицией, изложенной в решении ФАС России от 18.07.2024 № СП/63652/24, в которой указано на необходимость проведения органами регулирования оценки правильности отнесения объектов электросетевого хозяйства к установленным амортизационным группам при определении СПИ для целей тарифного регулирования.</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соответствии с Классификатором "ОК 013-2014 (СНС 2008). Общероссийский классификатор основных фондов", утвержденным Приказом Росстандарта от 12.12.2014 N 2018-ст), машины энергосиловые и сварочные путевые и агрегаты (трансформаторы электрические, преобразователи статические и индукторы; выключатели, контакторы и реверсоры переменного тока высокого напряжения; разъединители, короткозамыкатели, отделители, заземлители переменного тока высокого напряжения; трансформаторы напряжения высоковольтные; оборудование силовое тяговых подстанций, постов секционирования, пунктов параллельного соединения, приборы и приспособления для их монтажа и эксплуатационного обслуживания) определен ОКОФ 330.30.20.31.117</w:t>
      </w:r>
      <w:r w:rsidRPr="00B806A7">
        <w:rPr>
          <w:rFonts w:ascii="Times New Roman" w:eastAsia="Times New Roman" w:hAnsi="Times New Roman"/>
          <w:color w:val="FF0000"/>
          <w:sz w:val="24"/>
          <w:szCs w:val="24"/>
          <w:lang w:eastAsia="ru-RU"/>
        </w:rPr>
        <w:t xml:space="preserve"> </w:t>
      </w:r>
      <w:r w:rsidRPr="00B806A7">
        <w:rPr>
          <w:rFonts w:ascii="Times New Roman" w:eastAsia="Times New Roman" w:hAnsi="Times New Roman"/>
          <w:sz w:val="24"/>
          <w:szCs w:val="24"/>
          <w:lang w:eastAsia="ru-RU"/>
        </w:rPr>
        <w:t xml:space="preserve">и отнесен постановлением Правительства Российской Федерации от 01.01.2002 № 1 "О Классификации основных средств, включаемых в амортизационные группы" (далее – Классификатор) </w:t>
      </w:r>
      <w:r w:rsidRPr="00B806A7">
        <w:rPr>
          <w:rFonts w:ascii="Times New Roman" w:eastAsia="Times New Roman" w:hAnsi="Times New Roman"/>
          <w:sz w:val="24"/>
          <w:szCs w:val="24"/>
          <w:u w:val="single"/>
          <w:lang w:eastAsia="ru-RU"/>
        </w:rPr>
        <w:t>в седьмую амортизационную группу со сроком полезного использования от 15 до 20 лет включительно</w:t>
      </w:r>
      <w:r w:rsidRPr="00B806A7">
        <w:rPr>
          <w:rFonts w:ascii="Times New Roman" w:eastAsia="Times New Roman" w:hAnsi="Times New Roman"/>
          <w:sz w:val="24"/>
          <w:szCs w:val="24"/>
          <w:lang w:eastAsia="ru-RU"/>
        </w:rPr>
        <w:t>.</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По результатам оценки представленных материалов, проведенной департаментом, установлено, что КТПН-3309 неправомерно отнесен собственником к восьмой амортизационной группе, поскольку амортизационная группа конкретного актива определяется по его наименованию и с учетом информации, указанной в примечании Классификатора. Данная группа не содержит классификацию трансформаторов электрических, оборудования трансформаторной подстанции.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Учитывая, что СПИ активов и отнесение этих активов к соответствующей амортизационной группе определяется регулирующим органом в соответствии с максимальными СПИ, установленными Классификатором</w:t>
      </w:r>
      <w:r w:rsidRPr="00B806A7">
        <w:rPr>
          <w:rFonts w:ascii="Times New Roman" w:eastAsia="Times New Roman" w:hAnsi="Times New Roman"/>
          <w:b/>
          <w:sz w:val="24"/>
          <w:szCs w:val="24"/>
          <w:u w:val="single"/>
          <w:lang w:eastAsia="ru-RU"/>
        </w:rPr>
        <w:t>,</w:t>
      </w:r>
      <w:r w:rsidRPr="00B806A7">
        <w:rPr>
          <w:rFonts w:ascii="Times New Roman" w:eastAsia="Times New Roman" w:hAnsi="Times New Roman"/>
          <w:sz w:val="24"/>
          <w:szCs w:val="24"/>
          <w:lang w:eastAsia="ru-RU"/>
        </w:rPr>
        <w:t xml:space="preserve"> специалистом департамента при расчете экономического обоснованного размера арендной платы в части амортизационных отчислений в отношении КТПН-3309 была определена 7 группа, для которой установлен максимальный СПИ 240 месяцев, а в расчете учтен СПИ 241 месяц на основании первичных данных бухгалтерского учета собственника.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Величина амортизационных отчислений, рассчитанная с учетом максимального СПИ 240 месяцев для седьмой группы, составит 54 015 руб. (1 080 300/240*12), при этом в расчете департаментом была учтена сумма амортизационных отчислений в меньшем размере 53790,87 руб. (1 080 300/241*12), что не нарушает требований, предусмотренных п. 27 Основ ценообразования.</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дополнительно запрошены документы бухгалтерского учета, подтверждающие начисление собственником амортизации за 2022-2023 (ведомости амортизации, карточки счетов: 01 «основные средства», 02 «Амортизация основных средств» за указанный период).</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указанным документам начисление амортизации за 2022 год составило                   53 790,87 руб., за 2023 год - 53 790,87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Учитывая, что собственником имущество отнесено к восьмой группе специалистом департамента пересчитаны расходы на амортизационные отчисления в размере 43 212,0 руб. исходя из СПИ 300 месяцев, установленного Классификатором для восьмой группы.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результате пересмотра расходов по арендной плате по указанному договору в составе НВВ ООО «НГСК» на 2024 год подлежат учету расходы в размере 43 212,0 руб., сформированные на уровне амортизационных отчислений на основании требований п. 27, п.п. 5 п. 28 Основ ценообразования; сокращение от установленной департаментом величины составило 14 012,33 руб.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Аналогичным образом подлежат пересмотру расходы по арендной плате по указанному договору на 2023 год в размере 43 212,00 руб., сокращение от тарифно-балансового решения составило 14 012,33 руб., а также корректировка расходов на 2022 год - 43 212,00 руб. (сокращение от тарифно-балансового решения в ценах </w:t>
      </w:r>
      <w:r w:rsidR="009A6BB7" w:rsidRPr="00B806A7">
        <w:rPr>
          <w:rFonts w:ascii="Times New Roman" w:eastAsia="Times New Roman" w:hAnsi="Times New Roman"/>
          <w:sz w:val="24"/>
          <w:szCs w:val="24"/>
          <w:lang w:eastAsia="ru-RU"/>
        </w:rPr>
        <w:t xml:space="preserve">соответствующих лет </w:t>
      </w:r>
      <w:r w:rsidRPr="00B806A7">
        <w:rPr>
          <w:rFonts w:ascii="Times New Roman" w:eastAsia="Times New Roman" w:hAnsi="Times New Roman"/>
          <w:sz w:val="24"/>
          <w:szCs w:val="24"/>
          <w:lang w:eastAsia="ru-RU"/>
        </w:rPr>
        <w:t xml:space="preserve">составило </w:t>
      </w:r>
      <w:r w:rsidR="009A6BB7" w:rsidRPr="00B806A7">
        <w:rPr>
          <w:rFonts w:ascii="Times New Roman" w:eastAsia="Times New Roman" w:hAnsi="Times New Roman"/>
          <w:sz w:val="24"/>
          <w:szCs w:val="24"/>
          <w:lang w:eastAsia="ru-RU"/>
        </w:rPr>
        <w:t xml:space="preserve">                    </w:t>
      </w:r>
      <w:r w:rsidRPr="00B806A7">
        <w:rPr>
          <w:rFonts w:ascii="Times New Roman" w:eastAsia="Times New Roman" w:hAnsi="Times New Roman"/>
          <w:sz w:val="24"/>
          <w:szCs w:val="24"/>
          <w:lang w:eastAsia="ru-RU"/>
        </w:rPr>
        <w:t>14 012,33 руб.).</w:t>
      </w:r>
    </w:p>
    <w:p w:rsidR="00A245C4" w:rsidRPr="00B806A7" w:rsidRDefault="00A245C4" w:rsidP="00A245C4">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Договор аренды № 73-2019/А от 19.04.2019</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аренды № 73-2019/А от 19.04.2019 в размере 261 210,25 руб., на уровне установленной указанным договором аренды величины арендной платы.</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проведен анализ представленных документов на предмет соответствия требованиям п. 27 и п.п. 5 п. 28 Основ ценообразования, в том числе по объекту электрооборудование ТП-3307.</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обоснование расходов организацией представлены акты о приеме-передаче объектов основных средств (унифицированная форма ОС-1), в том числе по объекту электрооборудование ТП-3307, с первоначальной стоимостью 3521000 руб., сроком полезного использования (далее – СПИ) - 241 мес.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Классификатору оборудование трансформаторных подстанций отнесено к седьмой группе, максимальный СПИ 240 месяцев.</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Учитывая, что СПИ активов и отнесение этих активов к соответствующей амортизационной группе определяется регулирующим органом в соответствии с максимальными СПИ, установленными Классификатором, департаментом при расчете экономического обоснованного размера арендной платы в части амортизационных отчислений в отношении электрооборудования ТП-3307 определена 7 группа, для которой установлен максимальный СПИ 240 месяцев, а в расчете был учтен СПИ 241 месяц на основании первичных данных бухгалтерского учета собственника.</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Таким образом, специалистом департамента рассчитаны амортизационные отчисления по указанному объекту исходя из первоначальной стоимости и СПИ – 241 мес. в размере 175319,50 руб. (3521000/241*12), что соответствует первичным данным бухгалтерского учета и не нарушает требований, предусмотренных п. 27 Основ ценообразования.</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Кроме того, по указанному договору в составе арендной платы были рассчитаны амортизационные отчисления по максимальным СПИ: по КЛ-10 от ТП-3536 яч. 4 до ТП-3307 яч. 6 в размере 12960 руб.( 324000/300*12) и зданию ТП-3307 - 72930,75 руб. (2194000/361*12)</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дополнительно запрошены документы бухгалтерского учета, подтверждающие начисление собственником амортизации за 2021-2023 (ведомости амортизации, карточки счетов: 01 «основные средства», 02 «Амортизация основных средств» за указанный период).</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указанным документам начисление амортизации по объекту электрооборудование ТП-3307 составило: за 2021 год - 175319,50 руб., за 2022 год - 175319,50 руб., за 2023 год -43829,88 руб. (полностью объект самортизирован в марте 2023).</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Учитывая, что собственником имущество отнесено к восьмой группе специалистом департамента пересмотрены расходы на амортизационные отчисления в размере 140840 руб. исходя из СПИ 300 месяцев, установленного Классификатором для восьмой группы, что подлежит учету при корректировке НВВ ООО «НГСК» на 2020-2022 годы..</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связи с тем, что имущество самортизировано в марте 2023 года расходы на амортизацию на 2024 год составили 0 руб., на 2023 год -35210 руб., что подлежит учету при пересмотре НВВ ООО «НГСК» на указанные периоды.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результате пересмотра расходов по арендной плате по указанному договору в составе НВВ ООО «НГСК» на 2024 год подлежат учету расходы в размере 85 890,75 руб. (12960+72930,75), сформированные на уровне амортизационных отчислений на основании требований п. 27, п.п. 5 п. 28 Основ ценообразования; сокращение от установленной департаментом величины составило 175 319,50 руб. </w:t>
      </w:r>
    </w:p>
    <w:p w:rsidR="0010081D" w:rsidRPr="00B806A7" w:rsidRDefault="00774BF7" w:rsidP="0010081D">
      <w:pPr>
        <w:spacing w:after="0"/>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Аналогичным образом пересмотрены расходы по указанному договору в части амортизационных отчислений на 2023 год в размере </w:t>
      </w:r>
      <w:r w:rsidR="0010081D" w:rsidRPr="00B806A7">
        <w:rPr>
          <w:rFonts w:ascii="Times New Roman" w:eastAsia="Times New Roman" w:hAnsi="Times New Roman"/>
          <w:sz w:val="24"/>
          <w:szCs w:val="24"/>
          <w:lang w:eastAsia="ru-RU"/>
        </w:rPr>
        <w:t>121</w:t>
      </w:r>
      <w:r w:rsidRPr="00B806A7">
        <w:rPr>
          <w:rFonts w:ascii="Times New Roman" w:eastAsia="Times New Roman" w:hAnsi="Times New Roman"/>
          <w:sz w:val="24"/>
          <w:szCs w:val="24"/>
          <w:lang w:eastAsia="ru-RU"/>
        </w:rPr>
        <w:t>100,75руб. (амортизация                             121 100,75 руб</w:t>
      </w:r>
      <w:r w:rsidR="0010081D" w:rsidRPr="00B806A7">
        <w:rPr>
          <w:rFonts w:ascii="Times New Roman" w:eastAsia="Times New Roman" w:hAnsi="Times New Roman"/>
          <w:sz w:val="24"/>
          <w:szCs w:val="24"/>
          <w:lang w:eastAsia="ru-RU"/>
        </w:rPr>
        <w:t>.</w:t>
      </w:r>
      <w:r w:rsidRPr="00B806A7">
        <w:rPr>
          <w:rFonts w:ascii="Times New Roman" w:eastAsia="Times New Roman" w:hAnsi="Times New Roman"/>
          <w:sz w:val="24"/>
          <w:szCs w:val="24"/>
          <w:lang w:eastAsia="ru-RU"/>
        </w:rPr>
        <w:t xml:space="preserve">), сокращение от тарифно-балансового решения в ценах </w:t>
      </w:r>
      <w:r w:rsidR="0010081D" w:rsidRPr="00B806A7">
        <w:rPr>
          <w:rFonts w:ascii="Times New Roman" w:eastAsia="Times New Roman" w:hAnsi="Times New Roman"/>
          <w:sz w:val="24"/>
          <w:szCs w:val="24"/>
          <w:lang w:eastAsia="ru-RU"/>
        </w:rPr>
        <w:t xml:space="preserve">2023 года </w:t>
      </w:r>
      <w:r w:rsidRPr="00B806A7">
        <w:rPr>
          <w:rFonts w:ascii="Times New Roman" w:eastAsia="Times New Roman" w:hAnsi="Times New Roman"/>
          <w:sz w:val="24"/>
          <w:szCs w:val="24"/>
          <w:lang w:eastAsia="ru-RU"/>
        </w:rPr>
        <w:t>составило -  140 109,50 руб., а также пересмотрены плановые расходы по корректировке НВВ</w:t>
      </w:r>
      <w:r w:rsidR="00EA26AC" w:rsidRPr="00B806A7">
        <w:rPr>
          <w:rFonts w:ascii="Times New Roman" w:eastAsia="Times New Roman" w:hAnsi="Times New Roman"/>
          <w:sz w:val="24"/>
          <w:szCs w:val="24"/>
          <w:lang w:eastAsia="ru-RU"/>
        </w:rPr>
        <w:t xml:space="preserve"> на 2020-2022</w:t>
      </w:r>
      <w:r w:rsidR="0010081D" w:rsidRPr="00B806A7">
        <w:rPr>
          <w:rFonts w:ascii="Times New Roman" w:eastAsia="Times New Roman" w:hAnsi="Times New Roman"/>
          <w:sz w:val="24"/>
          <w:szCs w:val="24"/>
          <w:lang w:eastAsia="ru-RU"/>
        </w:rPr>
        <w:t>:</w:t>
      </w:r>
    </w:p>
    <w:p w:rsidR="00774BF7" w:rsidRPr="00B806A7" w:rsidRDefault="0010081D" w:rsidP="0010081D">
      <w:pPr>
        <w:spacing w:after="0"/>
        <w:jc w:val="both"/>
        <w:rPr>
          <w:rFonts w:ascii="Times New Roman" w:eastAsia="Times New Roman" w:hAnsi="Times New Roman"/>
          <w:color w:val="000000"/>
          <w:sz w:val="24"/>
          <w:szCs w:val="24"/>
          <w:lang w:eastAsia="ru-RU"/>
        </w:rPr>
      </w:pPr>
      <w:r w:rsidRPr="00B806A7">
        <w:rPr>
          <w:rFonts w:ascii="Times New Roman" w:eastAsia="Times New Roman" w:hAnsi="Times New Roman"/>
          <w:sz w:val="24"/>
          <w:szCs w:val="24"/>
          <w:lang w:eastAsia="ru-RU"/>
        </w:rPr>
        <w:t>-</w:t>
      </w:r>
      <w:r w:rsidR="00774BF7" w:rsidRPr="00B806A7">
        <w:rPr>
          <w:rFonts w:ascii="Times New Roman" w:eastAsia="Times New Roman" w:hAnsi="Times New Roman"/>
          <w:sz w:val="24"/>
          <w:szCs w:val="24"/>
          <w:lang w:eastAsia="ru-RU"/>
        </w:rPr>
        <w:t xml:space="preserve">на 2022 год - </w:t>
      </w:r>
      <w:r w:rsidRPr="00B806A7">
        <w:rPr>
          <w:rFonts w:ascii="Times New Roman" w:eastAsia="Times New Roman" w:hAnsi="Times New Roman"/>
          <w:sz w:val="24"/>
          <w:szCs w:val="24"/>
          <w:lang w:eastAsia="ru-RU"/>
        </w:rPr>
        <w:t>226730,75 руб.</w:t>
      </w:r>
      <w:r w:rsidR="00774BF7" w:rsidRPr="00B806A7">
        <w:rPr>
          <w:rFonts w:ascii="Times New Roman" w:eastAsia="Times New Roman" w:hAnsi="Times New Roman"/>
          <w:sz w:val="24"/>
          <w:szCs w:val="24"/>
          <w:lang w:eastAsia="ru-RU"/>
        </w:rPr>
        <w:t xml:space="preserve"> (амортизация - </w:t>
      </w:r>
      <w:r w:rsidRPr="00B806A7">
        <w:rPr>
          <w:rFonts w:ascii="Times New Roman" w:eastAsia="Times New Roman" w:hAnsi="Times New Roman"/>
          <w:sz w:val="24"/>
          <w:szCs w:val="24"/>
          <w:lang w:eastAsia="ru-RU"/>
        </w:rPr>
        <w:t>226</w:t>
      </w:r>
      <w:r w:rsidR="00774BF7" w:rsidRPr="00B806A7">
        <w:rPr>
          <w:rFonts w:ascii="Times New Roman" w:eastAsia="Times New Roman" w:hAnsi="Times New Roman"/>
          <w:sz w:val="24"/>
          <w:szCs w:val="24"/>
          <w:lang w:eastAsia="ru-RU"/>
        </w:rPr>
        <w:t>730,75 руб.,), сокращение от тарифно-балансового решения составило –</w:t>
      </w:r>
      <w:r w:rsidR="00774BF7" w:rsidRPr="00B806A7">
        <w:rPr>
          <w:rFonts w:ascii="Times New Roman" w:eastAsia="Times New Roman" w:hAnsi="Times New Roman"/>
          <w:color w:val="000000"/>
          <w:sz w:val="24"/>
          <w:szCs w:val="24"/>
          <w:lang w:eastAsia="ru-RU"/>
        </w:rPr>
        <w:t>-34 479,50 руб.</w:t>
      </w:r>
    </w:p>
    <w:p w:rsidR="0010081D" w:rsidRPr="00B806A7" w:rsidRDefault="0010081D" w:rsidP="0010081D">
      <w:pPr>
        <w:spacing w:after="0"/>
        <w:jc w:val="both"/>
        <w:rPr>
          <w:rFonts w:ascii="Times New Roman" w:eastAsia="Times New Roman" w:hAnsi="Times New Roman"/>
          <w:color w:val="000000"/>
          <w:sz w:val="24"/>
          <w:szCs w:val="24"/>
          <w:lang w:eastAsia="ru-RU"/>
        </w:rPr>
      </w:pPr>
      <w:r w:rsidRPr="00B806A7">
        <w:rPr>
          <w:rFonts w:ascii="Times New Roman" w:eastAsia="Times New Roman" w:hAnsi="Times New Roman"/>
          <w:color w:val="000000"/>
          <w:sz w:val="24"/>
          <w:szCs w:val="24"/>
          <w:lang w:eastAsia="ru-RU"/>
        </w:rPr>
        <w:t>-на 2021 год - 226730,75 руб. (амортизация - 226730,75 руб.,), сокращение от тарифно-балансового решения составило –-34 479,50 руб.</w:t>
      </w:r>
    </w:p>
    <w:p w:rsidR="0010081D" w:rsidRPr="00B806A7" w:rsidRDefault="0010081D" w:rsidP="0010081D">
      <w:pPr>
        <w:spacing w:after="0" w:line="240" w:lineRule="auto"/>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-на 2020 год - 226730,75 руб. (амортизация - 226730,75 руб.,), сокращение от тарифно-балансового решения составило –-34 479,50 руб.</w:t>
      </w:r>
    </w:p>
    <w:p w:rsidR="00A245C4" w:rsidRPr="00B806A7" w:rsidRDefault="00A245C4" w:rsidP="00A245C4">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 xml:space="preserve">Договор № б/н от 03.06.2019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аренды № б/н от 03.06.2019 в размере 287489 руб., на уровне установленной указанным договором аренды величины арендной платы.</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проведен анализ представленных документов на предмет соответствия требованиям п. 27 и п.п. 5 п. 28 Основ ценообразования, в том числе по 2КТПН 630 кВА.</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составе обосновывающих материалов ООО «НГСК» представлена инвентарная карточка учета объекта основных средств - трансформаторная подстанция 2КТПН 630 кВА, ОКОФ 114527343, восьмая амортизационная группа, с инвентарным номером 136, СПИ установлен 242 месяца, первоначальная стоимость 5 797 703,39 руб., принята на учет 24.10.2008.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Основное средство (2КТПН 630 кВА) неправомерно отнесено собственником к восьмой амортизационной группе, поскольку амортизационная группа конкретного актива определяется по его наименованию и с учетом информации, указанной в примечании Классификатора. Данная группа не содержит классификацию трансформаторной подстанции.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На основании Классификатора департаментом в отношении трансформаторной подстанции 2КТПН 630 кВА была определена 7 амортизационная группа, для которой установлен максимальный СПИ 240 месяцев, а в расчете учтен СПИ 242 месяц на основании  первичных данных бухгалтерского учета собственника, что не нарушает требований, предусмотренных п. 27 Основ ценообразования.</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Величина амортизационных отчислений, рассчитанная с учетом максимального СПИ 240 месяцев для седьмой группы, составит 289,9 тыс. руб. (5 797 703,39 /240*12), при этом в расчете департаментом была учтена сумма амортизационных отчислений в меньшем размере  руб. 287,5 тыс. руб. (5 797 703,39 /241*12), что не нарушает требований, предусмотренных п. 27 Основ ценообразования.</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дополнительно запрошены документы бухгалтерского учета, подтверждающие начисление собственником амортизации за 2021-2023 (ведомости амортизации, карточки счетов: 01 «основные средства», 02 «Амортизация основных средств» за указанный период).</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указанным документам начисление амортизации за 2021 год составило 287,5 тыс. руб., за 2022 год -287,5 тыс. руб., за 2023 год -287,5 тыс.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Учитывая, что собственником имущество отнесено к восьмой группе специалистом департамента пересчитаны расходы на амортизационные отчисления в размере 231 908,14 руб. исходя из СПИ 300 месяцев, установленного Классификатором для восьмой группы.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результате пересмотра расходов по арендной плате по указанному договору в составе НВВ ООО «НГСК» подлежат учету расходы в размере 231 908,14 руб., сформированные на уровне амортизационных отчислений на основании требований п. 27, п.п. 5 п. 28 Основ ценообразования; сокращение от установленной департаментом величины составило                        55 581,29 руб. </w:t>
      </w:r>
    </w:p>
    <w:p w:rsidR="00EA26AC" w:rsidRPr="00B806A7" w:rsidRDefault="00A245C4" w:rsidP="00EA26AC">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Аналогичным образом подлежат пересмотру расходы по арендной плате по указанному договору на 2023 год в размере 231 908,14 руб.</w:t>
      </w:r>
      <w:r w:rsidR="00EA26AC" w:rsidRPr="00B806A7">
        <w:rPr>
          <w:rFonts w:ascii="Times New Roman" w:eastAsia="Times New Roman" w:hAnsi="Times New Roman"/>
          <w:sz w:val="24"/>
          <w:szCs w:val="24"/>
          <w:lang w:eastAsia="ru-RU"/>
        </w:rPr>
        <w:t>,</w:t>
      </w:r>
      <w:r w:rsidR="00EA26AC" w:rsidRPr="00B806A7">
        <w:t xml:space="preserve"> </w:t>
      </w:r>
      <w:r w:rsidR="00EA26AC" w:rsidRPr="00B806A7">
        <w:rPr>
          <w:rFonts w:ascii="Times New Roman" w:eastAsia="Times New Roman" w:hAnsi="Times New Roman"/>
          <w:sz w:val="24"/>
          <w:szCs w:val="24"/>
          <w:lang w:eastAsia="ru-RU"/>
        </w:rPr>
        <w:t>сокращение от установленной департаментом величины составило 55 581,29 руб.;</w:t>
      </w:r>
      <w:r w:rsidR="00EA26AC" w:rsidRPr="00B806A7">
        <w:t xml:space="preserve"> </w:t>
      </w:r>
      <w:r w:rsidR="00EA26AC" w:rsidRPr="00B806A7">
        <w:rPr>
          <w:rFonts w:ascii="Times New Roman" w:eastAsia="Times New Roman" w:hAnsi="Times New Roman"/>
          <w:sz w:val="24"/>
          <w:szCs w:val="24"/>
          <w:lang w:eastAsia="ru-RU"/>
        </w:rPr>
        <w:t xml:space="preserve">а также пересмотрены плановые расходы по корректировке НВВ 2020-2022: </w:t>
      </w:r>
    </w:p>
    <w:p w:rsidR="00EA26AC" w:rsidRPr="00B806A7" w:rsidRDefault="00EA26AC" w:rsidP="00EA26AC">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-на 2022 год - 231 908,14 руб. (амортизация - 231 908,14</w:t>
      </w:r>
      <w:r w:rsidR="009A6BB7" w:rsidRPr="00B806A7">
        <w:rPr>
          <w:rFonts w:ascii="Times New Roman" w:eastAsia="Times New Roman" w:hAnsi="Times New Roman"/>
          <w:sz w:val="24"/>
          <w:szCs w:val="24"/>
          <w:lang w:eastAsia="ru-RU"/>
        </w:rPr>
        <w:t xml:space="preserve"> </w:t>
      </w:r>
      <w:r w:rsidRPr="00B806A7">
        <w:rPr>
          <w:rFonts w:ascii="Times New Roman" w:eastAsia="Times New Roman" w:hAnsi="Times New Roman"/>
          <w:sz w:val="24"/>
          <w:szCs w:val="24"/>
          <w:lang w:eastAsia="ru-RU"/>
        </w:rPr>
        <w:t>руб</w:t>
      </w:r>
      <w:r w:rsidR="009A6BB7" w:rsidRPr="00B806A7">
        <w:rPr>
          <w:rFonts w:ascii="Times New Roman" w:eastAsia="Times New Roman" w:hAnsi="Times New Roman"/>
          <w:sz w:val="24"/>
          <w:szCs w:val="24"/>
          <w:lang w:eastAsia="ru-RU"/>
        </w:rPr>
        <w:t>.</w:t>
      </w:r>
      <w:r w:rsidRPr="00B806A7">
        <w:rPr>
          <w:rFonts w:ascii="Times New Roman" w:eastAsia="Times New Roman" w:hAnsi="Times New Roman"/>
          <w:sz w:val="24"/>
          <w:szCs w:val="24"/>
          <w:lang w:eastAsia="ru-RU"/>
        </w:rPr>
        <w:t xml:space="preserve"> ), сокращение от тарифно-балансового решения составило –-55 581,29 руб.;</w:t>
      </w:r>
    </w:p>
    <w:p w:rsidR="00EA26AC" w:rsidRPr="00B806A7" w:rsidRDefault="00EA26AC"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-на 2021 год - 231 908,14 руб. (амортизация - 231 908,14</w:t>
      </w:r>
      <w:r w:rsidR="009A6BB7" w:rsidRPr="00B806A7">
        <w:rPr>
          <w:rFonts w:ascii="Times New Roman" w:eastAsia="Times New Roman" w:hAnsi="Times New Roman"/>
          <w:sz w:val="24"/>
          <w:szCs w:val="24"/>
          <w:lang w:eastAsia="ru-RU"/>
        </w:rPr>
        <w:t xml:space="preserve"> </w:t>
      </w:r>
      <w:r w:rsidRPr="00B806A7">
        <w:rPr>
          <w:rFonts w:ascii="Times New Roman" w:eastAsia="Times New Roman" w:hAnsi="Times New Roman"/>
          <w:sz w:val="24"/>
          <w:szCs w:val="24"/>
          <w:lang w:eastAsia="ru-RU"/>
        </w:rPr>
        <w:t>руб</w:t>
      </w:r>
      <w:r w:rsidR="009A6BB7" w:rsidRPr="00B806A7">
        <w:rPr>
          <w:rFonts w:ascii="Times New Roman" w:eastAsia="Times New Roman" w:hAnsi="Times New Roman"/>
          <w:sz w:val="24"/>
          <w:szCs w:val="24"/>
          <w:lang w:eastAsia="ru-RU"/>
        </w:rPr>
        <w:t>.</w:t>
      </w:r>
      <w:r w:rsidRPr="00B806A7">
        <w:rPr>
          <w:rFonts w:ascii="Times New Roman" w:eastAsia="Times New Roman" w:hAnsi="Times New Roman"/>
          <w:sz w:val="24"/>
          <w:szCs w:val="24"/>
          <w:lang w:eastAsia="ru-RU"/>
        </w:rPr>
        <w:t xml:space="preserve"> ), сокращение от тарифно-балансового решения составило –-55 581,29 руб.;</w:t>
      </w:r>
    </w:p>
    <w:p w:rsidR="00EA26AC" w:rsidRPr="00B806A7" w:rsidRDefault="00EA26AC"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-на 2020 год - 231 908,14руб. (амортизация - 231 908,14</w:t>
      </w:r>
      <w:r w:rsidR="009A6BB7" w:rsidRPr="00B806A7">
        <w:rPr>
          <w:rFonts w:ascii="Times New Roman" w:eastAsia="Times New Roman" w:hAnsi="Times New Roman"/>
          <w:sz w:val="24"/>
          <w:szCs w:val="24"/>
          <w:lang w:eastAsia="ru-RU"/>
        </w:rPr>
        <w:t xml:space="preserve"> </w:t>
      </w:r>
      <w:r w:rsidRPr="00B806A7">
        <w:rPr>
          <w:rFonts w:ascii="Times New Roman" w:eastAsia="Times New Roman" w:hAnsi="Times New Roman"/>
          <w:sz w:val="24"/>
          <w:szCs w:val="24"/>
          <w:lang w:eastAsia="ru-RU"/>
        </w:rPr>
        <w:t>руб</w:t>
      </w:r>
      <w:r w:rsidR="009A6BB7" w:rsidRPr="00B806A7">
        <w:rPr>
          <w:rFonts w:ascii="Times New Roman" w:eastAsia="Times New Roman" w:hAnsi="Times New Roman"/>
          <w:sz w:val="24"/>
          <w:szCs w:val="24"/>
          <w:lang w:eastAsia="ru-RU"/>
        </w:rPr>
        <w:t>.</w:t>
      </w:r>
      <w:r w:rsidRPr="00B806A7">
        <w:rPr>
          <w:rFonts w:ascii="Times New Roman" w:eastAsia="Times New Roman" w:hAnsi="Times New Roman"/>
          <w:sz w:val="24"/>
          <w:szCs w:val="24"/>
          <w:lang w:eastAsia="ru-RU"/>
        </w:rPr>
        <w:t xml:space="preserve"> ), сокращение от тарифно-балансового решения составило –-55 581,29 руб.</w:t>
      </w:r>
    </w:p>
    <w:p w:rsidR="00A245C4" w:rsidRPr="00B806A7" w:rsidRDefault="00A245C4" w:rsidP="00A245C4">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 xml:space="preserve">Договор аренды № 94-2019/А от 05.06.2019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аренды № 94-2019/А от 05.06.2019 в размере 4 834 574,41 руб., на уровне установленной указанным договором аренды величины арендной платы.</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представлен расчет арендной платы на сумму 4 834 574,41 руб., в том числе амортизация -  3 676 943,02 руб., налог на имущество -  1 157 631,39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дополнительно проведен анализ представленных документов на предмет соответствия требованиям п. 27 и п.п. 5 п. 28 Основ ценообразования, в том числе по оборудованию ТП-3709.</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организацией представлены инвентарные карточки учета объекта основных средств, акты о приеме-передаче объектов основных средств (унифицированная форма ОС-1), в том числе по оборудованию ТП-3709, с инвентарным номером БП-000156, седьмая группа, СПИ 240 месяцев, первоначальная стоимость 7 527 263,66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Классификатору оборудование трансформаторных подстанций отнесено к седьмой группе, максимальный СПИ 240 месяцев.</w:t>
      </w:r>
    </w:p>
    <w:p w:rsidR="00A245C4" w:rsidRPr="00B806A7" w:rsidRDefault="00A245C4" w:rsidP="00A245C4">
      <w:pPr>
        <w:spacing w:after="0" w:line="240" w:lineRule="auto"/>
        <w:ind w:firstLine="709"/>
        <w:jc w:val="both"/>
        <w:rPr>
          <w:rFonts w:ascii="Times New Roman" w:eastAsia="Times New Roman" w:hAnsi="Times New Roman"/>
          <w:color w:val="FF0000"/>
          <w:sz w:val="24"/>
          <w:szCs w:val="24"/>
          <w:lang w:eastAsia="ru-RU"/>
        </w:rPr>
      </w:pPr>
      <w:r w:rsidRPr="00B806A7">
        <w:rPr>
          <w:rFonts w:ascii="Times New Roman" w:eastAsia="Times New Roman" w:hAnsi="Times New Roman"/>
          <w:sz w:val="24"/>
          <w:szCs w:val="24"/>
          <w:lang w:eastAsia="ru-RU"/>
        </w:rPr>
        <w:t xml:space="preserve">Департаментом рассчитаны амортизационные отчисления по указанному объекту в размере 376363,2 руб. (7527263,66/240*12) исходя из первоначальной стоимости и СПИ 240 месяцев, что соответствует первичным данным бухгалтерского учета и максимальному сроку, установленному Классификатором.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дополнительно запрошены документы бухгалтерского учета, подтверждающие начисление собственником амортизации за 2021-2023 (ведомости амортизации, карточки счетов: 01 «основные средства», 02 «Амортизация основных средств» за указанный период).</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Согласно указанным документам начисление амортизации по объекту электрооборудование ТП-3709 составило: за 2021 год - 376 363,18 руб., за 2022 год -                             376 363,18 руб., за 2023 год - 376 363,18 руб.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Специалистом департамента признаны экономически обоснованными расходы по арендной плате объекта электросетевого хозяйства (оборудование ТП-3709) в размере</w:t>
      </w:r>
      <w:r w:rsidRPr="00B806A7">
        <w:rPr>
          <w:rFonts w:ascii="Times New Roman" w:eastAsia="Times New Roman" w:hAnsi="Times New Roman"/>
          <w:b/>
          <w:sz w:val="24"/>
          <w:szCs w:val="24"/>
          <w:lang w:eastAsia="ru-RU"/>
        </w:rPr>
        <w:t xml:space="preserve"> </w:t>
      </w:r>
      <w:r w:rsidR="009A6BB7" w:rsidRPr="00B806A7">
        <w:rPr>
          <w:rFonts w:ascii="Times New Roman" w:eastAsia="Times New Roman" w:hAnsi="Times New Roman"/>
          <w:sz w:val="24"/>
          <w:szCs w:val="24"/>
          <w:lang w:eastAsia="ru-RU"/>
        </w:rPr>
        <w:t>376363,2 руб.</w:t>
      </w:r>
      <w:r w:rsidRPr="00B806A7">
        <w:rPr>
          <w:rFonts w:ascii="Times New Roman" w:eastAsia="Times New Roman" w:hAnsi="Times New Roman"/>
          <w:sz w:val="24"/>
          <w:szCs w:val="24"/>
          <w:lang w:eastAsia="ru-RU"/>
        </w:rPr>
        <w:t>, что подтверждается данными бухгалтерского учета.</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целом расходы по договору аренды № 94-2019/А от 05.06.2019 признаны экономически обоснованными в размере 4 834 574,41 руб., на том же уровне, поскольку сформированные департаментом расходы не превышают экономически обоснованный размер, рассчитанный на основании требований п. 27, п.п. 5 п. 28 Основ ценообразования, и не превышают установленную указанным договором величину арендной платы.                         </w:t>
      </w:r>
    </w:p>
    <w:p w:rsidR="00A245C4" w:rsidRPr="00B806A7" w:rsidRDefault="00A245C4" w:rsidP="00A245C4">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Договор № 36-2021/А от 24.08.2021</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аренды № 36-2021/А от 24.08.2021 в размере 397 712,41 тыс. руб., на уровне установленной указанным договором аренды величины арендной платы.</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Организацией представлен расчет арендной платы на сумму 397 712,41 руб., в том числе амортизация - 301 455,76 руб., налог на имущество -  96 256,65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Департаментом проведен анализ представленных документов на предмет соответствия требованиям п. 27 и п.п. 5 п. 28 Основ ценообразования.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Следует отметить, что в обоснование расходов по арендной плате по указанному договору в материалах тарифного дела ООО «НГСК» были представлены инвентарные карточки объектов электросетевого хозяйства предыдущего собственника ООО СЗ «Аква Деволопмент», в которых отражены первоначальная стоимость и СПИ по указанным объектам.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организацией представлены инвентарные карточки учета объекта основных средств нового собственника (ООО СЗ «АКВА СИТИ»), в которых отражена следующая информация, в том числе:</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 по оборудованию ТП-4156, с инвентарным номером БП-000207, седьмая группа, СПИ 224 месяца, остаточная стоимость 2 508 061,22 руб. при принятии к бухгалтерскому учету (первоначальная стоимость  2687208,42 руб., СПИ 240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ТП-4156 ОКОФ 210.00.11.10.730, с инвентарным номером БП-000208, восьмая группа, СПИ 284 месяца, остаточная стоимость 144 152,68 руб. при принятии к бухгалтерскому учету (первоначальная стоимость 152273,96 руб., СПИ 300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 по КЛ-10 кВ, с инвентарным номером БП-000205, шестая группа, СПИ 164 месяца, остаточная стоимость 947 522,49 руб. при принятии к бухгалтерскому учету (первоначальная стоимость  1039963,77 руб., СПИ 180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КЛ-0,4 кВ, с инвентарным номером БП-000206, шестая группа, СПИ 164 месяца, остаточная стоимость 1 252 870,68 руб. при принятии к бухгалтерскому учету (первоначальная стоимость  1 375 102,04 руб., СПИ 180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Анализ представленных первичных документов бухгалтерского учета показал, что вышеперечисленные средства отнесены вышеуказанными собственниками к амортизационным группам, которые соответствуют Классификатору, а именно: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оборудованию ТП-4156 - седьмая группа (имущество со сроком полезного использования свыше 15 лет до 20 лет включительно);</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зданию ТП-4156 - восьмая группа (имущество со сроком полезного использования свыше 20 лет до 25 лет включительно (Здания с ОКОФ 210.00.11.10.730 в зависимости от их конструктивных особенностей могут относиться к четвертой, пятой, седьмой, восьмой или десятой амортизационной группе);</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КЛ-10 кВ шестая группа (имущество со сроком полезного использования свыше 10 лет до 15 лет включительно);</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КЛ-0,4 кВ шестая группа (имущество со сроком полезного использования свыше 10 лет до 15 лет включительно).</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Учитывая, что дополнительным соглашением № 2 от 01.12.2022 к договору аренды № 36-2021/А от 24.08.2021, заключенному ООО «НГСК» с ООО СЗ «Аква Деволопмент», внесены изменения, согласно которым право собственности на имущество перешло от ООО СЗ «Аква Деволопмент» к ООО СЗ «АКВА СИТИ», департаментом рассчитаны амортизационные отчисления исходя из остаточной стоимости и остаточного СПИ в размере 301 455,76 руб., в том числе:</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оборудованию ТП-4156 - 134 360,42 руб. (2 508 061,22/ 224*12);</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ТП-4156 - 6 090,96 руб. (144 152,68/ 284*12);</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КЛ-10 кВ - 69 330,91 руб. (947 522,49/164*12);</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КЛ-0,4 кВ - 91 673,46 руб. (1 252 870,68/164*12).</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Сравнительный анализ по расчету амортизационных отчислений ООО «СЗ Аква Деволопмент» и ООО СЗ «АКВА СИТИ» показал (представлен ниже в таблице), что представленные первичные документы бухгалтерского учета ООО «СЗ АКВА СИТИ», подтверждают, что при приеме в эксплуатацию и постановке на баланс основных средств, по которым перешло право собственности от ООО «СЗ АКВА-ДЕВЕЛОПМЕНТ», соблюдены требования бухгалтерского учета при определении амортизационной группы, остаточной стоимости и остаточного СПИ.</w:t>
      </w:r>
      <w:r w:rsidRPr="00B806A7">
        <w:rPr>
          <w:rFonts w:ascii="Times New Roman" w:eastAsia="Times New Roman" w:hAnsi="Times New Roman"/>
          <w:sz w:val="24"/>
          <w:szCs w:val="24"/>
          <w:lang w:eastAsia="ru-RU"/>
        </w:rPr>
        <w:tab/>
      </w:r>
      <w:r w:rsidRPr="00B806A7">
        <w:rPr>
          <w:rFonts w:ascii="Times New Roman" w:eastAsia="Times New Roman" w:hAnsi="Times New Roman"/>
          <w:sz w:val="24"/>
          <w:szCs w:val="24"/>
          <w:lang w:eastAsia="ru-RU"/>
        </w:rPr>
        <w:tab/>
        <w:t xml:space="preserve">  </w:t>
      </w:r>
    </w:p>
    <w:p w:rsidR="00A245C4" w:rsidRPr="00B806A7" w:rsidRDefault="00B806A7" w:rsidP="00A245C4">
      <w:pPr>
        <w:spacing w:after="0" w:line="240" w:lineRule="auto"/>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pict>
          <v:shape id="_x0000_i1026" type="#_x0000_t75" style="width:495.4pt;height:168.6pt">
            <v:imagedata r:id="rId10" o:title=""/>
          </v:shape>
        </w:pict>
      </w:r>
    </w:p>
    <w:p w:rsidR="00A245C4" w:rsidRPr="00B806A7" w:rsidRDefault="00A245C4" w:rsidP="00A245C4">
      <w:pPr>
        <w:spacing w:after="0" w:line="240" w:lineRule="auto"/>
        <w:jc w:val="both"/>
        <w:rPr>
          <w:rFonts w:ascii="Times New Roman" w:eastAsia="Times New Roman" w:hAnsi="Times New Roman"/>
          <w:sz w:val="24"/>
          <w:szCs w:val="24"/>
          <w:lang w:eastAsia="ru-RU"/>
        </w:rPr>
      </w:pP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дополнительно запрошены документы бухгалтерского учета, подтверждающие начисление собственником амортизации за 2022-2023 (ведомости амортизации, карточки счетов: 01 «основные средства», 02 «Амортизация основных средств» за указанный период).</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указанным документам начисление амортизации за 2022 год по указанным объектам составило 301 458,01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Таким образом, департаментом признаны экономически обоснованными расходы по амортизационным отчислениям в составе арендной платы по договору аренды № 36-2021/А от 24.08.2021 в размере 301 455,76 руб., подтвержденные данными бухгалтерского учета как предыдущего собственника, так и нового правообладетеля указанного имущества.</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целом расходы по договору аренды № 36-2021/А от 24.08.2021 признаны экономически обоснованными в размере 397 712,41 руб. (в том числе амортизация -                  301 455,76 руб., налог на имущество - 96 256,65 руб.), на том же уровне, поскольку сформированные департаментом расходы не превышают экономически обоснованный размер, рассчитанный на основании требований п. 27, п.п. 5 п. 28 Основ ценообразования, и не превышают установленную указанным договором величину арендной платы.                         </w:t>
      </w:r>
    </w:p>
    <w:p w:rsidR="00A245C4" w:rsidRPr="00B806A7" w:rsidRDefault="00A245C4" w:rsidP="00A245C4">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Договор № 62-2019/А от 22.07.2019</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 62-2019/А от 22.07.2019, заключенному с ООО «Солвекс плюс», в размере 30 098,75 руб., рассчитанные исходя из размера амортизационных отчислений ООО «Солвекс плюс», в том числе по КЛ-10 в размере 333,33 руб., а именно:</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КТПН в размере 29 765,42 руб., рассчитанные исходя из первоначальной стоимости в размере 597 788,81 руб. и СПИ -241 мес. (597 788,81/241*12);</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КЛ-10 кВ до ТП-2619 яч.3 до КТПН-3037 в размере 200 руб., рассчитанные исходя из первоначальной стоимости в размере 5 000 руб. и СПИ -300 мес. (5000/300*12);</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КЛ-10 кВ до ТП-2619 яч.2 до ТП-2623 в размере 133,33 руб., рассчитанные исходя из первоначальной стоимости в размере  3 333,33 руб. и СПИ - 300 мес. (3 333,33/300*12).</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Стоимость арендной платы по договору № 62-2019/А от 22.07.2019 составила на регулируемые периоды 2023 и 2024 годы - 30 000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обоснование расходов организацией представлены акты о приеме-передаче здания (сооружения) (унифицированные формы) по объектам основных средств бывшего собственника ООО «Солвекс плюс», в том числе по указанным кабельным линиям с ОКОФ 220.42.22.12.110, по которым определена шестая амортизационная группа (имущество со сроком полезного использования свыше 10 лет до 15 лет включительно), СПИ установлен 61 месяц. </w:t>
      </w:r>
    </w:p>
    <w:p w:rsidR="00A245C4" w:rsidRPr="00B806A7" w:rsidRDefault="00A245C4" w:rsidP="00A245C4">
      <w:pPr>
        <w:spacing w:after="0" w:line="240" w:lineRule="auto"/>
        <w:ind w:firstLine="709"/>
        <w:jc w:val="both"/>
        <w:rPr>
          <w:rFonts w:ascii="Times New Roman" w:eastAsia="Times New Roman" w:hAnsi="Times New Roman"/>
          <w:i/>
          <w:sz w:val="24"/>
          <w:szCs w:val="24"/>
          <w:lang w:eastAsia="ru-RU"/>
        </w:rPr>
      </w:pPr>
      <w:r w:rsidRPr="00B806A7">
        <w:rPr>
          <w:rFonts w:ascii="Times New Roman" w:eastAsia="Times New Roman" w:hAnsi="Times New Roman"/>
          <w:sz w:val="24"/>
          <w:szCs w:val="24"/>
          <w:lang w:eastAsia="ru-RU"/>
        </w:rPr>
        <w:t>Согласно письму Минэкономразвития России от 7 ноября 2022 № Д13и-36103: «</w:t>
      </w:r>
      <w:r w:rsidRPr="00B806A7">
        <w:rPr>
          <w:rFonts w:ascii="Times New Roman" w:eastAsia="Times New Roman" w:hAnsi="Times New Roman"/>
          <w:i/>
          <w:sz w:val="24"/>
          <w:szCs w:val="24"/>
          <w:lang w:eastAsia="ru-RU"/>
        </w:rPr>
        <w:t>Код ОКОФ 220.42.22.11.110 "Линии (кабели) электропередачи высокого напряжения" в Классификации не поименован. Для данного кода ОКОФ кодами группировок ОКОФ более высокого уровня, указанными в Классификации, являются:</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i/>
          <w:sz w:val="24"/>
          <w:szCs w:val="24"/>
          <w:lang w:eastAsia="ru-RU"/>
        </w:rPr>
        <w:t>- код ОКОФ 220.42.22.1 "Сооружения коммунальные для электроснабжения и связи", в соответствии с Классификацией поименованный в четвертой амортизационной группе (имущество со сроком полезного использования свыше 5 лет до 7 лет включительно) с примечанием "электростанции передвижные; электроагрегаты питания"..</w:t>
      </w:r>
      <w:r w:rsidRPr="00B806A7">
        <w:rPr>
          <w:rFonts w:ascii="Times New Roman" w:eastAsia="Times New Roman" w:hAnsi="Times New Roman"/>
          <w:sz w:val="24"/>
          <w:szCs w:val="24"/>
          <w:lang w:eastAsia="ru-RU"/>
        </w:rPr>
        <w:t>»</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Вместе с тем, организацией некорректно определен ОКОФ 220.42.22.11.110 в отношении кабельных линий электропередач 10 кВ, поскольку они не относятся к линиям высокого напряжения.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Учитывая, что заявленные ООО «НГСК» по расчету расходы по амортизационным отчислениям выполнены исходя из СПИ 300 мес., которые соответствуют максимальным СПИ, установленным Классификатором, департаментом были признаны заявленные расходы по арендной плате по указанным линиям экономически обоснованными в размере 333,33 руб. по расчету организации.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Во исполнение Предписания ФАС России департаментом дополнительно проведен анализ обосновывающих документов на соответствие требованиям п. 27 и п.п. 5 п. 28 Основ ценообразования, представленных ООО «НГСК» в составе материалов тарифного дела.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материалах дела по корректировке НВВ и тарифов на 2025 год ООО «НГСК» было представлено дополнительное соглашение от 30.09.2023 к договору аренды № 62-2019/А от 22.07.2019, заключенному с ООО «Фуджи», согласно которому арендуемое имущество (объекты электросетевого хозяйства) в связи с его продажей перешло в собственность к ООО «Фуджи», а также первичные документы бухгалтерского учета (инвентарные карточки).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Кроме того, департаментом дополнительно были запрошены документы бухгалтерского учета, подтверждающие начисление ООО «Фуджи», амортизации за 2023 год (ведомость амортизации, карточки счетов: 01 «основные средства», 02 «Амортизация основных средств», отчет по проводкам за указанный период).</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указанным документам имущество поставлено на баланс 30.09.2023, соответственно начисление амортизации три месяца 2023 года составило 108 126,72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Сравнительный анализ первичных документов бухгалтерского учета ООО «Солвекс плюс» и ООО «Фуджи»представлен ниже.</w:t>
      </w:r>
    </w:p>
    <w:tbl>
      <w:tblPr>
        <w:tblW w:w="9928" w:type="dxa"/>
        <w:tblInd w:w="103" w:type="dxa"/>
        <w:tblLayout w:type="fixed"/>
        <w:tblLook w:val="04A0" w:firstRow="1" w:lastRow="0" w:firstColumn="1" w:lastColumn="0" w:noHBand="0" w:noVBand="1"/>
      </w:tblPr>
      <w:tblGrid>
        <w:gridCol w:w="1707"/>
        <w:gridCol w:w="1417"/>
        <w:gridCol w:w="1418"/>
        <w:gridCol w:w="1276"/>
        <w:gridCol w:w="1417"/>
        <w:gridCol w:w="1418"/>
        <w:gridCol w:w="1275"/>
      </w:tblGrid>
      <w:tr w:rsidR="00A245C4" w:rsidRPr="00B806A7" w:rsidTr="00C05BC4">
        <w:trPr>
          <w:trHeight w:val="1443"/>
        </w:trPr>
        <w:tc>
          <w:tcPr>
            <w:tcW w:w="1707" w:type="dxa"/>
            <w:tcBorders>
              <w:top w:val="single" w:sz="4" w:space="0" w:color="auto"/>
              <w:left w:val="single" w:sz="4" w:space="0" w:color="auto"/>
              <w:bottom w:val="single" w:sz="4" w:space="0" w:color="auto"/>
              <w:right w:val="single" w:sz="4" w:space="0" w:color="auto"/>
            </w:tcBorders>
            <w:vAlign w:val="center"/>
          </w:tcPr>
          <w:p w:rsidR="00A245C4" w:rsidRPr="00B806A7" w:rsidRDefault="00A245C4" w:rsidP="00A245C4">
            <w:pPr>
              <w:spacing w:after="0" w:line="240" w:lineRule="auto"/>
              <w:jc w:val="center"/>
              <w:rPr>
                <w:rFonts w:ascii="Times New Roman" w:eastAsia="Times New Roman" w:hAnsi="Times New Roman"/>
                <w:sz w:val="20"/>
                <w:szCs w:val="20"/>
                <w:lang w:eastAsia="ru-RU"/>
              </w:rPr>
            </w:pPr>
            <w:r w:rsidRPr="00B806A7">
              <w:rPr>
                <w:rFonts w:ascii="Times New Roman" w:eastAsia="Times New Roman" w:hAnsi="Times New Roman"/>
                <w:sz w:val="20"/>
                <w:szCs w:val="20"/>
                <w:lang w:eastAsia="ru-RU"/>
              </w:rPr>
              <w:t>Наименование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45C4" w:rsidRPr="00B806A7" w:rsidRDefault="00A245C4" w:rsidP="00A245C4">
            <w:pPr>
              <w:spacing w:after="0" w:line="240" w:lineRule="auto"/>
              <w:jc w:val="center"/>
              <w:rPr>
                <w:rFonts w:ascii="Times New Roman" w:eastAsia="Times New Roman" w:hAnsi="Times New Roman"/>
                <w:color w:val="000000"/>
                <w:sz w:val="18"/>
                <w:szCs w:val="18"/>
                <w:lang w:eastAsia="ru-RU"/>
              </w:rPr>
            </w:pPr>
            <w:r w:rsidRPr="00B806A7">
              <w:rPr>
                <w:rFonts w:ascii="Times New Roman" w:eastAsia="Times New Roman" w:hAnsi="Times New Roman"/>
                <w:color w:val="000000"/>
                <w:sz w:val="18"/>
                <w:szCs w:val="18"/>
                <w:lang w:eastAsia="ru-RU"/>
              </w:rPr>
              <w:t>Балансовая стоимость ООО "Солвекс плюс"</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245C4" w:rsidRPr="00B806A7" w:rsidRDefault="00A245C4" w:rsidP="00A245C4">
            <w:pPr>
              <w:spacing w:after="0" w:line="240" w:lineRule="auto"/>
              <w:jc w:val="center"/>
              <w:rPr>
                <w:rFonts w:ascii="Times New Roman" w:eastAsia="Times New Roman" w:hAnsi="Times New Roman"/>
                <w:color w:val="000000"/>
                <w:sz w:val="18"/>
                <w:szCs w:val="18"/>
                <w:lang w:eastAsia="ru-RU"/>
              </w:rPr>
            </w:pPr>
            <w:r w:rsidRPr="00B806A7">
              <w:rPr>
                <w:rFonts w:ascii="Times New Roman" w:eastAsia="Times New Roman" w:hAnsi="Times New Roman"/>
                <w:color w:val="000000"/>
                <w:sz w:val="18"/>
                <w:szCs w:val="18"/>
                <w:lang w:eastAsia="ru-RU"/>
              </w:rPr>
              <w:t>СПИ по данным инвентарных карточек ООО "Солвекс плюс"</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245C4" w:rsidRPr="00B806A7" w:rsidRDefault="00A245C4" w:rsidP="00A245C4">
            <w:pPr>
              <w:spacing w:after="0" w:line="240" w:lineRule="auto"/>
              <w:jc w:val="center"/>
              <w:rPr>
                <w:rFonts w:ascii="Times New Roman" w:eastAsia="Times New Roman" w:hAnsi="Times New Roman"/>
                <w:color w:val="000000"/>
                <w:sz w:val="18"/>
                <w:szCs w:val="18"/>
                <w:lang w:eastAsia="ru-RU"/>
              </w:rPr>
            </w:pPr>
            <w:r w:rsidRPr="00B806A7">
              <w:rPr>
                <w:rFonts w:ascii="Times New Roman" w:eastAsia="Times New Roman" w:hAnsi="Times New Roman"/>
                <w:color w:val="000000"/>
                <w:sz w:val="18"/>
                <w:szCs w:val="18"/>
                <w:lang w:eastAsia="ru-RU"/>
              </w:rPr>
              <w:t xml:space="preserve">Амортизация  по расчету ООО "Солвекс плюс" на 2023 год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245C4" w:rsidRPr="00B806A7" w:rsidRDefault="00A245C4" w:rsidP="00A245C4">
            <w:pPr>
              <w:spacing w:after="0" w:line="240" w:lineRule="auto"/>
              <w:jc w:val="center"/>
              <w:rPr>
                <w:rFonts w:ascii="Times New Roman" w:eastAsia="Times New Roman" w:hAnsi="Times New Roman"/>
                <w:sz w:val="18"/>
                <w:szCs w:val="18"/>
                <w:lang w:eastAsia="ru-RU"/>
              </w:rPr>
            </w:pPr>
            <w:r w:rsidRPr="00B806A7">
              <w:rPr>
                <w:rFonts w:ascii="Times New Roman" w:eastAsia="Times New Roman" w:hAnsi="Times New Roman"/>
                <w:sz w:val="18"/>
                <w:szCs w:val="18"/>
                <w:lang w:eastAsia="ru-RU"/>
              </w:rPr>
              <w:t>Балансовая стоимость  ООО "ФУДЖИ" (по ОС-6)</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245C4" w:rsidRPr="00B806A7" w:rsidRDefault="00A245C4" w:rsidP="00A245C4">
            <w:pPr>
              <w:spacing w:after="0" w:line="240" w:lineRule="auto"/>
              <w:jc w:val="center"/>
              <w:rPr>
                <w:rFonts w:ascii="Times New Roman" w:eastAsia="Times New Roman" w:hAnsi="Times New Roman"/>
                <w:sz w:val="18"/>
                <w:szCs w:val="18"/>
                <w:lang w:eastAsia="ru-RU"/>
              </w:rPr>
            </w:pPr>
            <w:r w:rsidRPr="00B806A7">
              <w:rPr>
                <w:rFonts w:ascii="Times New Roman" w:eastAsia="Times New Roman" w:hAnsi="Times New Roman"/>
                <w:sz w:val="18"/>
                <w:szCs w:val="18"/>
                <w:lang w:eastAsia="ru-RU"/>
              </w:rPr>
              <w:t>СПИ по данным инвентарных карточек ООО "ФУДЖИ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A245C4" w:rsidRPr="00B806A7" w:rsidRDefault="00A245C4" w:rsidP="00A245C4">
            <w:pPr>
              <w:spacing w:after="0" w:line="240" w:lineRule="auto"/>
              <w:jc w:val="center"/>
              <w:rPr>
                <w:rFonts w:ascii="Times New Roman" w:eastAsia="Times New Roman" w:hAnsi="Times New Roman"/>
                <w:color w:val="000000"/>
                <w:sz w:val="18"/>
                <w:szCs w:val="18"/>
                <w:lang w:eastAsia="ru-RU"/>
              </w:rPr>
            </w:pPr>
            <w:r w:rsidRPr="00B806A7">
              <w:rPr>
                <w:rFonts w:ascii="Times New Roman" w:eastAsia="Times New Roman" w:hAnsi="Times New Roman"/>
                <w:color w:val="000000"/>
                <w:sz w:val="18"/>
                <w:szCs w:val="18"/>
                <w:lang w:eastAsia="ru-RU"/>
              </w:rPr>
              <w:t>Амортизация по расчету ООО "ФУДЖИ" на 2024 год</w:t>
            </w:r>
          </w:p>
        </w:tc>
      </w:tr>
      <w:tr w:rsidR="00A245C4" w:rsidRPr="00B806A7" w:rsidTr="00C05BC4">
        <w:trPr>
          <w:trHeight w:val="300"/>
        </w:trPr>
        <w:tc>
          <w:tcPr>
            <w:tcW w:w="1707" w:type="dxa"/>
            <w:tcBorders>
              <w:top w:val="nil"/>
              <w:left w:val="single" w:sz="4" w:space="0" w:color="auto"/>
              <w:bottom w:val="single" w:sz="4" w:space="0" w:color="auto"/>
              <w:right w:val="single" w:sz="4" w:space="0" w:color="auto"/>
            </w:tcBorders>
            <w:vAlign w:val="bottom"/>
          </w:tcPr>
          <w:p w:rsidR="00A245C4" w:rsidRPr="00B806A7" w:rsidRDefault="00A245C4" w:rsidP="00A245C4">
            <w:pPr>
              <w:spacing w:after="0" w:line="240" w:lineRule="auto"/>
              <w:rPr>
                <w:rFonts w:ascii="Times New Roman" w:eastAsia="Times New Roman" w:hAnsi="Times New Roman"/>
                <w:color w:val="000000"/>
                <w:sz w:val="18"/>
                <w:szCs w:val="18"/>
                <w:lang w:eastAsia="ru-RU"/>
              </w:rPr>
            </w:pPr>
            <w:r w:rsidRPr="00B806A7">
              <w:rPr>
                <w:rFonts w:ascii="Times New Roman" w:eastAsia="Times New Roman" w:hAnsi="Times New Roman"/>
                <w:color w:val="000000"/>
                <w:sz w:val="18"/>
                <w:szCs w:val="18"/>
                <w:lang w:eastAsia="ru-RU"/>
              </w:rPr>
              <w:t>КТПН №б/н Адрес: РФ Новосибирская обл., город Новосибирск, ул. Варшавкая, д.5</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color w:val="000000"/>
                <w:sz w:val="18"/>
                <w:szCs w:val="18"/>
                <w:lang w:eastAsia="ru-RU"/>
              </w:rPr>
            </w:pPr>
            <w:r w:rsidRPr="00B806A7">
              <w:rPr>
                <w:rFonts w:ascii="Times New Roman" w:eastAsia="Times New Roman" w:hAnsi="Times New Roman"/>
                <w:color w:val="000000"/>
                <w:sz w:val="18"/>
                <w:szCs w:val="18"/>
                <w:lang w:eastAsia="ru-RU"/>
              </w:rPr>
              <w:t>597 788,81</w:t>
            </w:r>
          </w:p>
        </w:tc>
        <w:tc>
          <w:tcPr>
            <w:tcW w:w="1418" w:type="dxa"/>
            <w:tcBorders>
              <w:top w:val="nil"/>
              <w:left w:val="nil"/>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color w:val="000000"/>
                <w:sz w:val="18"/>
                <w:szCs w:val="18"/>
                <w:lang w:eastAsia="ru-RU"/>
              </w:rPr>
            </w:pPr>
            <w:r w:rsidRPr="00B806A7">
              <w:rPr>
                <w:rFonts w:ascii="Times New Roman" w:eastAsia="Times New Roman" w:hAnsi="Times New Roman"/>
                <w:color w:val="000000"/>
                <w:sz w:val="18"/>
                <w:szCs w:val="18"/>
                <w:lang w:eastAsia="ru-RU"/>
              </w:rPr>
              <w:t>61</w:t>
            </w:r>
          </w:p>
        </w:tc>
        <w:tc>
          <w:tcPr>
            <w:tcW w:w="1276" w:type="dxa"/>
            <w:tcBorders>
              <w:top w:val="nil"/>
              <w:left w:val="nil"/>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color w:val="000000"/>
                <w:sz w:val="18"/>
                <w:szCs w:val="18"/>
                <w:lang w:eastAsia="ru-RU"/>
              </w:rPr>
            </w:pPr>
            <w:r w:rsidRPr="00B806A7">
              <w:rPr>
                <w:rFonts w:ascii="Times New Roman" w:eastAsia="Times New Roman" w:hAnsi="Times New Roman"/>
                <w:color w:val="000000"/>
                <w:sz w:val="18"/>
                <w:szCs w:val="18"/>
                <w:lang w:eastAsia="ru-RU"/>
              </w:rPr>
              <w:t>117 597,80</w:t>
            </w:r>
          </w:p>
        </w:tc>
        <w:tc>
          <w:tcPr>
            <w:tcW w:w="1417" w:type="dxa"/>
            <w:tcBorders>
              <w:top w:val="nil"/>
              <w:left w:val="nil"/>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sz w:val="18"/>
                <w:szCs w:val="18"/>
                <w:lang w:eastAsia="ru-RU"/>
              </w:rPr>
            </w:pPr>
            <w:r w:rsidRPr="00B806A7">
              <w:rPr>
                <w:rFonts w:ascii="Times New Roman" w:eastAsia="Times New Roman" w:hAnsi="Times New Roman"/>
                <w:sz w:val="18"/>
                <w:szCs w:val="18"/>
                <w:lang w:eastAsia="ru-RU"/>
              </w:rPr>
              <w:t>1 666 666,67</w:t>
            </w:r>
          </w:p>
        </w:tc>
        <w:tc>
          <w:tcPr>
            <w:tcW w:w="1418" w:type="dxa"/>
            <w:tcBorders>
              <w:top w:val="nil"/>
              <w:left w:val="nil"/>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sz w:val="18"/>
                <w:szCs w:val="18"/>
                <w:lang w:eastAsia="ru-RU"/>
              </w:rPr>
            </w:pPr>
            <w:r w:rsidRPr="00B806A7">
              <w:rPr>
                <w:rFonts w:ascii="Times New Roman" w:eastAsia="Times New Roman" w:hAnsi="Times New Roman"/>
                <w:sz w:val="18"/>
                <w:szCs w:val="18"/>
                <w:lang w:eastAsia="ru-RU"/>
              </w:rPr>
              <w:t>60</w:t>
            </w:r>
          </w:p>
        </w:tc>
        <w:tc>
          <w:tcPr>
            <w:tcW w:w="1275" w:type="dxa"/>
            <w:tcBorders>
              <w:top w:val="nil"/>
              <w:left w:val="nil"/>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color w:val="000000"/>
                <w:sz w:val="18"/>
                <w:szCs w:val="18"/>
                <w:lang w:eastAsia="ru-RU"/>
              </w:rPr>
            </w:pPr>
            <w:r w:rsidRPr="00B806A7">
              <w:rPr>
                <w:rFonts w:ascii="Times New Roman" w:eastAsia="Times New Roman" w:hAnsi="Times New Roman"/>
                <w:color w:val="000000"/>
                <w:sz w:val="18"/>
                <w:szCs w:val="18"/>
                <w:lang w:eastAsia="ru-RU"/>
              </w:rPr>
              <w:t>333 333</w:t>
            </w:r>
          </w:p>
        </w:tc>
      </w:tr>
      <w:tr w:rsidR="00A245C4" w:rsidRPr="00B806A7" w:rsidTr="00C05BC4">
        <w:trPr>
          <w:trHeight w:val="300"/>
        </w:trPr>
        <w:tc>
          <w:tcPr>
            <w:tcW w:w="1707" w:type="dxa"/>
            <w:tcBorders>
              <w:top w:val="nil"/>
              <w:left w:val="single" w:sz="4" w:space="0" w:color="auto"/>
              <w:bottom w:val="single" w:sz="4" w:space="0" w:color="auto"/>
              <w:right w:val="single" w:sz="4" w:space="0" w:color="auto"/>
            </w:tcBorders>
            <w:vAlign w:val="bottom"/>
          </w:tcPr>
          <w:p w:rsidR="00A245C4" w:rsidRPr="00B806A7" w:rsidRDefault="00A245C4" w:rsidP="00A245C4">
            <w:pPr>
              <w:spacing w:after="0" w:line="240" w:lineRule="auto"/>
              <w:rPr>
                <w:rFonts w:ascii="Times New Roman" w:eastAsia="Times New Roman" w:hAnsi="Times New Roman"/>
                <w:color w:val="000000"/>
                <w:sz w:val="18"/>
                <w:szCs w:val="18"/>
                <w:lang w:eastAsia="ru-RU"/>
              </w:rPr>
            </w:pPr>
            <w:r w:rsidRPr="00B806A7">
              <w:rPr>
                <w:rFonts w:ascii="Times New Roman" w:eastAsia="Times New Roman" w:hAnsi="Times New Roman"/>
                <w:color w:val="000000"/>
                <w:sz w:val="18"/>
                <w:szCs w:val="18"/>
                <w:lang w:eastAsia="ru-RU"/>
              </w:rPr>
              <w:t xml:space="preserve">КЛ-10 кВ до ТП-2619 яч.3 до КТПН-3037 </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color w:val="000000"/>
                <w:sz w:val="18"/>
                <w:szCs w:val="18"/>
                <w:lang w:eastAsia="ru-RU"/>
              </w:rPr>
            </w:pPr>
            <w:r w:rsidRPr="00B806A7">
              <w:rPr>
                <w:rFonts w:ascii="Times New Roman" w:eastAsia="Times New Roman" w:hAnsi="Times New Roman"/>
                <w:color w:val="000000"/>
                <w:sz w:val="18"/>
                <w:szCs w:val="18"/>
                <w:lang w:eastAsia="ru-RU"/>
              </w:rPr>
              <w:t>5 000,00</w:t>
            </w:r>
          </w:p>
        </w:tc>
        <w:tc>
          <w:tcPr>
            <w:tcW w:w="1418" w:type="dxa"/>
            <w:tcBorders>
              <w:top w:val="nil"/>
              <w:left w:val="nil"/>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color w:val="000000"/>
                <w:sz w:val="18"/>
                <w:szCs w:val="18"/>
                <w:lang w:eastAsia="ru-RU"/>
              </w:rPr>
            </w:pPr>
            <w:r w:rsidRPr="00B806A7">
              <w:rPr>
                <w:rFonts w:ascii="Times New Roman" w:eastAsia="Times New Roman" w:hAnsi="Times New Roman"/>
                <w:color w:val="000000"/>
                <w:sz w:val="18"/>
                <w:szCs w:val="18"/>
                <w:lang w:eastAsia="ru-RU"/>
              </w:rPr>
              <w:t>61</w:t>
            </w:r>
          </w:p>
        </w:tc>
        <w:tc>
          <w:tcPr>
            <w:tcW w:w="1276" w:type="dxa"/>
            <w:tcBorders>
              <w:top w:val="nil"/>
              <w:left w:val="nil"/>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color w:val="000000"/>
                <w:sz w:val="18"/>
                <w:szCs w:val="18"/>
                <w:lang w:eastAsia="ru-RU"/>
              </w:rPr>
            </w:pPr>
            <w:r w:rsidRPr="00B806A7">
              <w:rPr>
                <w:rFonts w:ascii="Times New Roman" w:eastAsia="Times New Roman" w:hAnsi="Times New Roman"/>
                <w:color w:val="000000"/>
                <w:sz w:val="18"/>
                <w:szCs w:val="18"/>
                <w:lang w:eastAsia="ru-RU"/>
              </w:rPr>
              <w:t>983,61</w:t>
            </w:r>
          </w:p>
        </w:tc>
        <w:tc>
          <w:tcPr>
            <w:tcW w:w="1417" w:type="dxa"/>
            <w:tcBorders>
              <w:top w:val="nil"/>
              <w:left w:val="nil"/>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sz w:val="18"/>
                <w:szCs w:val="18"/>
                <w:lang w:eastAsia="ru-RU"/>
              </w:rPr>
            </w:pPr>
            <w:r w:rsidRPr="00B806A7">
              <w:rPr>
                <w:rFonts w:ascii="Times New Roman" w:eastAsia="Times New Roman" w:hAnsi="Times New Roman"/>
                <w:sz w:val="18"/>
                <w:szCs w:val="18"/>
                <w:lang w:eastAsia="ru-RU"/>
              </w:rPr>
              <w:t>500 000,00</w:t>
            </w:r>
          </w:p>
        </w:tc>
        <w:tc>
          <w:tcPr>
            <w:tcW w:w="1418" w:type="dxa"/>
            <w:tcBorders>
              <w:top w:val="nil"/>
              <w:left w:val="nil"/>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sz w:val="18"/>
                <w:szCs w:val="18"/>
                <w:lang w:eastAsia="ru-RU"/>
              </w:rPr>
            </w:pPr>
            <w:r w:rsidRPr="00B806A7">
              <w:rPr>
                <w:rFonts w:ascii="Times New Roman" w:eastAsia="Times New Roman" w:hAnsi="Times New Roman"/>
                <w:sz w:val="18"/>
                <w:szCs w:val="18"/>
                <w:lang w:eastAsia="ru-RU"/>
              </w:rPr>
              <w:t>121</w:t>
            </w:r>
          </w:p>
        </w:tc>
        <w:tc>
          <w:tcPr>
            <w:tcW w:w="1275" w:type="dxa"/>
            <w:tcBorders>
              <w:top w:val="nil"/>
              <w:left w:val="nil"/>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color w:val="000000"/>
                <w:sz w:val="18"/>
                <w:szCs w:val="18"/>
                <w:lang w:eastAsia="ru-RU"/>
              </w:rPr>
            </w:pPr>
            <w:r w:rsidRPr="00B806A7">
              <w:rPr>
                <w:rFonts w:ascii="Times New Roman" w:eastAsia="Times New Roman" w:hAnsi="Times New Roman"/>
                <w:color w:val="000000"/>
                <w:sz w:val="18"/>
                <w:szCs w:val="18"/>
                <w:lang w:eastAsia="ru-RU"/>
              </w:rPr>
              <w:t>49 587</w:t>
            </w:r>
          </w:p>
        </w:tc>
      </w:tr>
      <w:tr w:rsidR="00A245C4" w:rsidRPr="00B806A7" w:rsidTr="00C05BC4">
        <w:trPr>
          <w:trHeight w:val="300"/>
        </w:trPr>
        <w:tc>
          <w:tcPr>
            <w:tcW w:w="1707" w:type="dxa"/>
            <w:tcBorders>
              <w:top w:val="nil"/>
              <w:left w:val="single" w:sz="4" w:space="0" w:color="auto"/>
              <w:bottom w:val="single" w:sz="4" w:space="0" w:color="auto"/>
              <w:right w:val="single" w:sz="4" w:space="0" w:color="auto"/>
            </w:tcBorders>
            <w:vAlign w:val="bottom"/>
          </w:tcPr>
          <w:p w:rsidR="00A245C4" w:rsidRPr="00B806A7" w:rsidRDefault="00A245C4" w:rsidP="00A245C4">
            <w:pPr>
              <w:spacing w:after="0" w:line="240" w:lineRule="auto"/>
              <w:rPr>
                <w:rFonts w:ascii="Times New Roman" w:eastAsia="Times New Roman" w:hAnsi="Times New Roman"/>
                <w:color w:val="000000"/>
                <w:sz w:val="18"/>
                <w:szCs w:val="18"/>
                <w:lang w:eastAsia="ru-RU"/>
              </w:rPr>
            </w:pPr>
            <w:r w:rsidRPr="00B806A7">
              <w:rPr>
                <w:rFonts w:ascii="Times New Roman" w:eastAsia="Times New Roman" w:hAnsi="Times New Roman"/>
                <w:color w:val="000000"/>
                <w:sz w:val="18"/>
                <w:szCs w:val="18"/>
                <w:lang w:eastAsia="ru-RU"/>
              </w:rPr>
              <w:t>КЛ-10 кВ до ТП-2619 яч.2 до ТП-2623</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color w:val="000000"/>
                <w:sz w:val="18"/>
                <w:szCs w:val="18"/>
                <w:lang w:eastAsia="ru-RU"/>
              </w:rPr>
            </w:pPr>
            <w:r w:rsidRPr="00B806A7">
              <w:rPr>
                <w:rFonts w:ascii="Times New Roman" w:eastAsia="Times New Roman" w:hAnsi="Times New Roman"/>
                <w:color w:val="000000"/>
                <w:sz w:val="18"/>
                <w:szCs w:val="18"/>
                <w:lang w:eastAsia="ru-RU"/>
              </w:rPr>
              <w:t>3 333,33</w:t>
            </w:r>
          </w:p>
        </w:tc>
        <w:tc>
          <w:tcPr>
            <w:tcW w:w="1418" w:type="dxa"/>
            <w:tcBorders>
              <w:top w:val="nil"/>
              <w:left w:val="nil"/>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color w:val="000000"/>
                <w:sz w:val="18"/>
                <w:szCs w:val="18"/>
                <w:lang w:eastAsia="ru-RU"/>
              </w:rPr>
            </w:pPr>
            <w:r w:rsidRPr="00B806A7">
              <w:rPr>
                <w:rFonts w:ascii="Times New Roman" w:eastAsia="Times New Roman" w:hAnsi="Times New Roman"/>
                <w:color w:val="000000"/>
                <w:sz w:val="18"/>
                <w:szCs w:val="18"/>
                <w:lang w:eastAsia="ru-RU"/>
              </w:rPr>
              <w:t>61</w:t>
            </w:r>
          </w:p>
        </w:tc>
        <w:tc>
          <w:tcPr>
            <w:tcW w:w="1276" w:type="dxa"/>
            <w:tcBorders>
              <w:top w:val="nil"/>
              <w:left w:val="nil"/>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color w:val="000000"/>
                <w:sz w:val="18"/>
                <w:szCs w:val="18"/>
                <w:lang w:eastAsia="ru-RU"/>
              </w:rPr>
            </w:pPr>
            <w:r w:rsidRPr="00B806A7">
              <w:rPr>
                <w:rFonts w:ascii="Times New Roman" w:eastAsia="Times New Roman" w:hAnsi="Times New Roman"/>
                <w:color w:val="000000"/>
                <w:sz w:val="18"/>
                <w:szCs w:val="18"/>
                <w:lang w:eastAsia="ru-RU"/>
              </w:rPr>
              <w:t>655,74</w:t>
            </w:r>
          </w:p>
        </w:tc>
        <w:tc>
          <w:tcPr>
            <w:tcW w:w="1417" w:type="dxa"/>
            <w:tcBorders>
              <w:top w:val="nil"/>
              <w:left w:val="nil"/>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sz w:val="18"/>
                <w:szCs w:val="18"/>
                <w:lang w:eastAsia="ru-RU"/>
              </w:rPr>
            </w:pPr>
            <w:r w:rsidRPr="00B806A7">
              <w:rPr>
                <w:rFonts w:ascii="Times New Roman" w:eastAsia="Times New Roman" w:hAnsi="Times New Roman"/>
                <w:sz w:val="18"/>
                <w:szCs w:val="18"/>
                <w:lang w:eastAsia="ru-RU"/>
              </w:rPr>
              <w:t>500 000,00</w:t>
            </w:r>
          </w:p>
        </w:tc>
        <w:tc>
          <w:tcPr>
            <w:tcW w:w="1418" w:type="dxa"/>
            <w:tcBorders>
              <w:top w:val="nil"/>
              <w:left w:val="nil"/>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sz w:val="18"/>
                <w:szCs w:val="18"/>
                <w:lang w:eastAsia="ru-RU"/>
              </w:rPr>
            </w:pPr>
            <w:r w:rsidRPr="00B806A7">
              <w:rPr>
                <w:rFonts w:ascii="Times New Roman" w:eastAsia="Times New Roman" w:hAnsi="Times New Roman"/>
                <w:sz w:val="18"/>
                <w:szCs w:val="18"/>
                <w:lang w:eastAsia="ru-RU"/>
              </w:rPr>
              <w:t>121</w:t>
            </w:r>
          </w:p>
        </w:tc>
        <w:tc>
          <w:tcPr>
            <w:tcW w:w="1275" w:type="dxa"/>
            <w:tcBorders>
              <w:top w:val="nil"/>
              <w:left w:val="nil"/>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color w:val="000000"/>
                <w:sz w:val="18"/>
                <w:szCs w:val="18"/>
                <w:lang w:eastAsia="ru-RU"/>
              </w:rPr>
            </w:pPr>
            <w:r w:rsidRPr="00B806A7">
              <w:rPr>
                <w:rFonts w:ascii="Times New Roman" w:eastAsia="Times New Roman" w:hAnsi="Times New Roman"/>
                <w:color w:val="000000"/>
                <w:sz w:val="18"/>
                <w:szCs w:val="18"/>
                <w:lang w:eastAsia="ru-RU"/>
              </w:rPr>
              <w:t>49 587</w:t>
            </w:r>
          </w:p>
        </w:tc>
      </w:tr>
      <w:tr w:rsidR="00A245C4" w:rsidRPr="00B806A7" w:rsidTr="00C05BC4">
        <w:trPr>
          <w:trHeight w:val="300"/>
        </w:trPr>
        <w:tc>
          <w:tcPr>
            <w:tcW w:w="1707" w:type="dxa"/>
            <w:tcBorders>
              <w:top w:val="nil"/>
              <w:left w:val="single" w:sz="4" w:space="0" w:color="auto"/>
              <w:bottom w:val="single" w:sz="4" w:space="0" w:color="auto"/>
              <w:right w:val="single" w:sz="4" w:space="0" w:color="auto"/>
            </w:tcBorders>
          </w:tcPr>
          <w:p w:rsidR="00A245C4" w:rsidRPr="00B806A7" w:rsidRDefault="00A245C4" w:rsidP="00A245C4">
            <w:pPr>
              <w:spacing w:after="0" w:line="240" w:lineRule="auto"/>
              <w:jc w:val="right"/>
              <w:rPr>
                <w:rFonts w:ascii="Times New Roman" w:eastAsia="Times New Roman" w:hAnsi="Times New Roman"/>
                <w:b/>
                <w:bCs/>
                <w:color w:val="000000"/>
                <w:sz w:val="18"/>
                <w:szCs w:val="18"/>
                <w:lang w:eastAsia="ru-RU"/>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b/>
                <w:bCs/>
                <w:color w:val="000000"/>
                <w:sz w:val="18"/>
                <w:szCs w:val="18"/>
                <w:lang w:eastAsia="ru-RU"/>
              </w:rPr>
            </w:pPr>
            <w:r w:rsidRPr="00B806A7">
              <w:rPr>
                <w:rFonts w:ascii="Times New Roman" w:eastAsia="Times New Roman" w:hAnsi="Times New Roman"/>
                <w:b/>
                <w:bCs/>
                <w:color w:val="000000"/>
                <w:sz w:val="18"/>
                <w:szCs w:val="18"/>
                <w:lang w:eastAsia="ru-RU"/>
              </w:rPr>
              <w:t>606 122,14</w:t>
            </w:r>
          </w:p>
        </w:tc>
        <w:tc>
          <w:tcPr>
            <w:tcW w:w="1418" w:type="dxa"/>
            <w:tcBorders>
              <w:top w:val="nil"/>
              <w:left w:val="nil"/>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color w:val="000000"/>
                <w:sz w:val="18"/>
                <w:szCs w:val="18"/>
                <w:lang w:eastAsia="ru-RU"/>
              </w:rPr>
            </w:pPr>
          </w:p>
        </w:tc>
        <w:tc>
          <w:tcPr>
            <w:tcW w:w="1276" w:type="dxa"/>
            <w:tcBorders>
              <w:top w:val="nil"/>
              <w:left w:val="nil"/>
              <w:bottom w:val="single" w:sz="4" w:space="0" w:color="auto"/>
              <w:right w:val="single" w:sz="4" w:space="0" w:color="auto"/>
            </w:tcBorders>
            <w:shd w:val="clear" w:color="000000" w:fill="FFFFFF"/>
            <w:noWrap/>
            <w:vAlign w:val="center"/>
            <w:hideMark/>
          </w:tcPr>
          <w:p w:rsidR="00A245C4" w:rsidRPr="00B806A7" w:rsidRDefault="00A245C4" w:rsidP="00A245C4">
            <w:pPr>
              <w:spacing w:after="0" w:line="240" w:lineRule="auto"/>
              <w:jc w:val="center"/>
              <w:rPr>
                <w:rFonts w:ascii="Times New Roman" w:eastAsia="Times New Roman" w:hAnsi="Times New Roman"/>
                <w:b/>
                <w:bCs/>
                <w:sz w:val="18"/>
                <w:szCs w:val="18"/>
                <w:lang w:eastAsia="ru-RU"/>
              </w:rPr>
            </w:pPr>
            <w:r w:rsidRPr="00B806A7">
              <w:rPr>
                <w:rFonts w:ascii="Times New Roman" w:eastAsia="Times New Roman" w:hAnsi="Times New Roman"/>
                <w:b/>
                <w:bCs/>
                <w:sz w:val="18"/>
                <w:szCs w:val="18"/>
                <w:lang w:eastAsia="ru-RU"/>
              </w:rPr>
              <w:t>119 237,14</w:t>
            </w:r>
          </w:p>
        </w:tc>
        <w:tc>
          <w:tcPr>
            <w:tcW w:w="1417" w:type="dxa"/>
            <w:tcBorders>
              <w:top w:val="nil"/>
              <w:left w:val="nil"/>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b/>
                <w:bCs/>
                <w:sz w:val="18"/>
                <w:szCs w:val="18"/>
                <w:lang w:eastAsia="ru-RU"/>
              </w:rPr>
            </w:pPr>
            <w:r w:rsidRPr="00B806A7">
              <w:rPr>
                <w:rFonts w:ascii="Times New Roman" w:eastAsia="Times New Roman" w:hAnsi="Times New Roman"/>
                <w:b/>
                <w:bCs/>
                <w:sz w:val="18"/>
                <w:szCs w:val="18"/>
                <w:lang w:eastAsia="ru-RU"/>
              </w:rPr>
              <w:t>2 666 666,67</w:t>
            </w:r>
          </w:p>
        </w:tc>
        <w:tc>
          <w:tcPr>
            <w:tcW w:w="1418" w:type="dxa"/>
            <w:tcBorders>
              <w:top w:val="nil"/>
              <w:left w:val="nil"/>
              <w:bottom w:val="single" w:sz="4" w:space="0" w:color="auto"/>
              <w:right w:val="single" w:sz="4" w:space="0" w:color="auto"/>
            </w:tcBorders>
            <w:shd w:val="clear" w:color="000000" w:fill="FFFFFF"/>
            <w:noWrap/>
            <w:vAlign w:val="center"/>
            <w:hideMark/>
          </w:tcPr>
          <w:p w:rsidR="00A245C4" w:rsidRPr="00B806A7" w:rsidRDefault="00A245C4" w:rsidP="00A245C4">
            <w:pPr>
              <w:spacing w:after="0" w:line="240" w:lineRule="auto"/>
              <w:jc w:val="center"/>
              <w:rPr>
                <w:rFonts w:ascii="Times New Roman" w:eastAsia="Times New Roman" w:hAnsi="Times New Roman"/>
                <w:b/>
                <w:bCs/>
                <w:sz w:val="18"/>
                <w:szCs w:val="18"/>
                <w:lang w:eastAsia="ru-RU"/>
              </w:rPr>
            </w:pPr>
          </w:p>
        </w:tc>
        <w:tc>
          <w:tcPr>
            <w:tcW w:w="1275" w:type="dxa"/>
            <w:tcBorders>
              <w:top w:val="nil"/>
              <w:left w:val="nil"/>
              <w:bottom w:val="single" w:sz="4" w:space="0" w:color="auto"/>
              <w:right w:val="single" w:sz="4" w:space="0" w:color="auto"/>
            </w:tcBorders>
            <w:shd w:val="clear" w:color="auto" w:fill="auto"/>
            <w:noWrap/>
            <w:vAlign w:val="center"/>
            <w:hideMark/>
          </w:tcPr>
          <w:p w:rsidR="00A245C4" w:rsidRPr="00B806A7" w:rsidRDefault="00A245C4" w:rsidP="00A245C4">
            <w:pPr>
              <w:spacing w:after="0" w:line="240" w:lineRule="auto"/>
              <w:jc w:val="center"/>
              <w:rPr>
                <w:rFonts w:ascii="Times New Roman" w:eastAsia="Times New Roman" w:hAnsi="Times New Roman"/>
                <w:b/>
                <w:bCs/>
                <w:sz w:val="18"/>
                <w:szCs w:val="18"/>
                <w:lang w:eastAsia="ru-RU"/>
              </w:rPr>
            </w:pPr>
            <w:r w:rsidRPr="00B806A7">
              <w:rPr>
                <w:rFonts w:ascii="Times New Roman" w:eastAsia="Times New Roman" w:hAnsi="Times New Roman"/>
                <w:b/>
                <w:bCs/>
                <w:sz w:val="18"/>
                <w:szCs w:val="18"/>
                <w:lang w:eastAsia="ru-RU"/>
              </w:rPr>
              <w:t>432 506,89</w:t>
            </w:r>
          </w:p>
        </w:tc>
      </w:tr>
    </w:tbl>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данным инвентарных карточек ООО «Солвек плюс» в момент передачи имущество еще не было полностью самортизировано. В тоже время срок начисления амортизации в отношении арендуемого имущества должен был наступить:</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КЛ-10 кВ до ТП-2619 яч.3 до КТПН-3037 и КЛ-10 кВ до ТП-2619 яч.2 до ТП-2623- в июле 2024 года;</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КТПН – в январе 2024 года.</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этой связи департаментом пересмотрены расходы по арендной плате по указанному договору на 2024 год в размере 2 674,90 руб., рассчитанные исходя из первоначальной стоимости предыдущего собственника ООО «Солвекс плюс» и СПИ (300 мес.), принятых в расчет при установлении НВВ ООО «НГК» и тарифов на 2023-2024 годы, </w:t>
      </w:r>
      <w:r w:rsidRPr="00B806A7">
        <w:rPr>
          <w:rFonts w:ascii="Times New Roman" w:eastAsia="Times New Roman" w:hAnsi="Times New Roman"/>
          <w:sz w:val="24"/>
          <w:szCs w:val="24"/>
          <w:u w:val="single"/>
          <w:lang w:eastAsia="ru-RU"/>
        </w:rPr>
        <w:t>с учетом сроков наступления полного начисления амортизации по ним</w:t>
      </w:r>
      <w:r w:rsidRPr="00B806A7">
        <w:rPr>
          <w:rFonts w:ascii="Times New Roman" w:eastAsia="Times New Roman" w:hAnsi="Times New Roman"/>
          <w:sz w:val="24"/>
          <w:szCs w:val="24"/>
          <w:lang w:eastAsia="ru-RU"/>
        </w:rPr>
        <w:t>. В результате, сокращение относительно установленной величины на 2024 год в размере (30000 руб.) составит 27 325,10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Учитывая, что в 2023 году арендуемые объекты еще не были самортизированы департаментом признаны экономически обоснованными расходы по договору аренды № 36-2021/А от 24.08.2021 в размере 30 000 руб. (в том числе амортизация -  30 098,75 руб.), на том же уровне, поскольку сформированные департаментом расходы не превышают экономически обоснованный размер, рассчитанный на основании требований п. 27, п.п. 5 п. 28 Основ ценообразования, и не превышают установленную указанным договором величину арендной платы.                         </w:t>
      </w:r>
    </w:p>
    <w:p w:rsidR="00A245C4" w:rsidRPr="00B806A7" w:rsidRDefault="00A245C4" w:rsidP="00A245C4">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 xml:space="preserve">Договор № 15-2020 от 30.03.2020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аренды № 15-2020 от 30.03.2020 в размере 487 686,87 тыс. руб., в том числе амортизация - 371 339,79 руб., налог на имущество -  116 347,08 руб. (величина арендной платы, установленная указанным договором - 455 241,78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организацией представлена инвентарная карточка учета объекта основных средств по Трансформаторной подстанции (кадастровый номер 54:19:190102:11120), с инвентарным номером 966980, ОКОФ 210.00.11.10.730, восьмая группа, СПИ 252 месяца, остаточная стоимость 5 917 734,80 руб., дата постановки на баланс 05.07.2017).</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акту о приеме-сдаче отремонтированных, реконструированных, модернизированных объектов основных средств остаточная стоимость до реконструкции               5 917 734,80 руб. (реконструкция на сумму 1 880 400,79 руб. (дата реконструкции 31.07.2018).</w:t>
      </w:r>
    </w:p>
    <w:p w:rsidR="00A245C4" w:rsidRPr="00B806A7" w:rsidRDefault="00A245C4" w:rsidP="00A245C4">
      <w:pPr>
        <w:tabs>
          <w:tab w:val="left" w:pos="708"/>
          <w:tab w:val="center" w:pos="4153"/>
          <w:tab w:val="right" w:pos="8306"/>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соответствии с Классификатором здания трансформаторных подстанций с кодом ОКОФ 210.00.11.10.730 в зависимости от их конструктивных особенностей могут входить в четвертую, пятую, седьмую, восьмую, десятую амортизационную группу. Конструктивные особенности здания трансформаторной подстанции определяются из проектной, разрешительной документации на здание, его технического плана, технических паспортов и спецификаций заводов-изготовителей на конструкции и модули зданий.</w:t>
      </w:r>
    </w:p>
    <w:p w:rsidR="00A245C4" w:rsidRPr="00B806A7" w:rsidRDefault="00A245C4" w:rsidP="00A245C4">
      <w:pPr>
        <w:tabs>
          <w:tab w:val="left" w:pos="708"/>
          <w:tab w:val="center" w:pos="4153"/>
          <w:tab w:val="right" w:pos="8306"/>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Анализ представленных первичных документов бухгалтерской отчетности по Трансформаторной подстанции (кадастровый номер 54:19:190102:11120) показал, что:</w:t>
      </w:r>
    </w:p>
    <w:p w:rsidR="00A245C4" w:rsidRPr="00B806A7" w:rsidRDefault="00A245C4" w:rsidP="00A245C4">
      <w:pPr>
        <w:tabs>
          <w:tab w:val="left" w:pos="708"/>
          <w:tab w:val="center" w:pos="4153"/>
          <w:tab w:val="right" w:pos="8306"/>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-основному средству присвоена восьмая амортизационная группа, соответствующая Классификатору;  </w:t>
      </w:r>
    </w:p>
    <w:p w:rsidR="00A245C4" w:rsidRPr="00B806A7" w:rsidRDefault="00A245C4" w:rsidP="00A245C4">
      <w:pPr>
        <w:tabs>
          <w:tab w:val="left" w:pos="708"/>
          <w:tab w:val="center" w:pos="4153"/>
          <w:tab w:val="right" w:pos="8306"/>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-остаточная стоимость и остаточный СПИ рассчитаны в соответствии с положениями бухгалтерского законодательства - при линейном методе годовая сумма амортизационных отчислений основного средства после модернизации (реконструкции) определяется исходя из стоимости активов, определенной на основании остаточной стоимости основного средства (с учетом ее увеличения на сумму расходов на модернизацию), и оставшегося срока его полезного использования (с учетом увеличения этого срока после модернизации).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дополнительно были запрошены документы бухгалтерского учета, подтверждающие начисление собственником амортизации за 2021-2023 (ведомость амортизации, карточки счетов: 01 «основные средства», 02 «Амортизация основных средств», отчет по проводкам за указанный период).</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указанным документам начисление амортизации составило: за 2021 – 376991,04 руб., за 2022 – 375575,04 руб., за 2023 года -375575,04 руб.</w:t>
      </w:r>
    </w:p>
    <w:p w:rsidR="00A245C4" w:rsidRPr="00B806A7" w:rsidRDefault="00A245C4" w:rsidP="00A245C4">
      <w:pPr>
        <w:tabs>
          <w:tab w:val="left" w:pos="708"/>
          <w:tab w:val="center" w:pos="4153"/>
          <w:tab w:val="right" w:pos="8306"/>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Учитывая, что ООО «НГСК» не представлены документы, подтверждающие остаточную стоимость объекта, перешедшего от другого собственника, департаментом пересмотрены расходы на амортизацию в размере 311 925,42 руб., рассчитанные исходя из первоначальной стоимости и СПИ 300 месяцев, установленного Классификатором для восьмой группы. В результате, сокращение относительно установленной величины на 2024 год в размере                    (455 241,78 руб.) составит 26 969,28 руб.</w:t>
      </w:r>
    </w:p>
    <w:p w:rsidR="00A245C4" w:rsidRPr="00B806A7" w:rsidRDefault="00A245C4" w:rsidP="00A245C4">
      <w:pPr>
        <w:tabs>
          <w:tab w:val="left" w:pos="708"/>
          <w:tab w:val="center" w:pos="4153"/>
          <w:tab w:val="right" w:pos="8306"/>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Аналогичным образом пересмотрены расходы по указанному договору в части амортизационных отчислений на 2023 год в размере 436 592,89 руб. (амортизация -311 925,42 руб, налог на имущество - 124 667,47 руб.), сокращение от тарифно-балансового решения в  ценах </w:t>
      </w:r>
      <w:r w:rsidR="00AE65E5" w:rsidRPr="00B806A7">
        <w:rPr>
          <w:rFonts w:ascii="Times New Roman" w:eastAsia="Times New Roman" w:hAnsi="Times New Roman"/>
          <w:sz w:val="24"/>
          <w:szCs w:val="24"/>
          <w:lang w:eastAsia="ru-RU"/>
        </w:rPr>
        <w:t xml:space="preserve">соответствующих лет </w:t>
      </w:r>
      <w:r w:rsidRPr="00B806A7">
        <w:rPr>
          <w:rFonts w:ascii="Times New Roman" w:eastAsia="Times New Roman" w:hAnsi="Times New Roman"/>
          <w:sz w:val="24"/>
          <w:szCs w:val="24"/>
          <w:lang w:eastAsia="ru-RU"/>
        </w:rPr>
        <w:t xml:space="preserve">составило -18 648,89 руб., а также пересмотрены плановые расходы по корректировке НВВ на 2022 год - 444 862,98 руб. (амортизация -311 925,42 руб, налог на имущество -132 937,55 руб.), сокращение от тарифно-балансового решения в ценах </w:t>
      </w:r>
      <w:r w:rsidR="00AE65E5" w:rsidRPr="00B806A7">
        <w:rPr>
          <w:rFonts w:ascii="Times New Roman" w:eastAsia="Times New Roman" w:hAnsi="Times New Roman"/>
          <w:sz w:val="24"/>
          <w:szCs w:val="24"/>
          <w:lang w:eastAsia="ru-RU"/>
        </w:rPr>
        <w:t xml:space="preserve">соответствующих лет </w:t>
      </w:r>
      <w:r w:rsidRPr="00B806A7">
        <w:rPr>
          <w:rFonts w:ascii="Times New Roman" w:eastAsia="Times New Roman" w:hAnsi="Times New Roman"/>
          <w:sz w:val="24"/>
          <w:szCs w:val="24"/>
          <w:lang w:eastAsia="ru-RU"/>
        </w:rPr>
        <w:t>составило – 10 378,80 руб.</w:t>
      </w:r>
    </w:p>
    <w:p w:rsidR="00A245C4" w:rsidRPr="00B806A7" w:rsidRDefault="00A245C4" w:rsidP="00A245C4">
      <w:pPr>
        <w:tabs>
          <w:tab w:val="left" w:pos="708"/>
          <w:tab w:val="center" w:pos="4153"/>
          <w:tab w:val="right" w:pos="8306"/>
        </w:tabs>
        <w:spacing w:after="0" w:line="240" w:lineRule="auto"/>
        <w:ind w:firstLine="709"/>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Договор № 71-2020/А от 24.07.2020</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аренды № 71-2020/А от 24.07.2020 в размере 2 738 400 руб., на уровне установленной указанным договором аренды величины арендной платы.</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Департаментом проведен анализ представленных документов на предмет соответствия требованиям п. 27 и п.п. 5 п. 28 Основ ценообразования.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обоснование расходов организацией представлены акты о приеме-передаче объектов основных средств (унифицированная форма ОС-1),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актам о приеме-передаче объектов основных средств отражена следующая информация, в том числе по объектам:</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электрооборудованию к РП, десятая группа, СПИ 240 месяцев, первоначальная стоимость 12 500 000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КЛ-10кВ от ПС Правобережная яч. 36 до СМ РП яч. 10, десятая группа, СПИ 300 месяцев, первоначальная стоимость  25 794 00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 по КЛ-10кВ от СМ ПС Правобережная яч. 36 до РП яч. 10, десятая группа, СПИ 300 месяцев, первоначальная стоимость  51 000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КЛ-10кВ от ПС Правобережная яч. 18 до СМ РП яч. 3, десятая группа, СПИ 300 месяцев, первоначальная стоимость 25 695 000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КЛ-10кВ от СМ ПС Правобережная яч. 18 до РП яч. 3, десятая группа, СПИ 300 месяцев, первоначальная стоимость 45 000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Классификатору оборудование трансформаторных подстанций отнесено к седьмой группе (максимальный СПИ 240 месяцев), кабельные линии 10 кВ (максимальный СПИ 300 месяцев).</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были сформированы расходы на амортизационные отчисления по указанным объектам исходя из первоначальной стоимости и установленных СПИ, что соответствует первичным данным бухгалтерского учета и максимальным срокам, установленным Классификатором для седьмой и восьмой группы.</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целях проведения анализа указанных документов на предмет соответствия требованиям п. 27 и п.п. 5 п. 28 Основ ценообразования департаментом дополнительно запрошены первичные документы бухгалтерского учета - инвентарные карточки (унифицированная форма ОС-6).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инвентарным карточкам объектов основных средств отражена следующая информация, в том числе по объектам:</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электрооборудование к РП, седьмая группа, СПИ 240 месяцев, первоначальная стоимость 12 500 000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КЛ-10кВ от ПС Правобережная яч. 36 до СМ РП яч. 10, восьмая группа, СПИ 300 месяцев, первоначальная стоимость  25 794 00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 по КЛ-10кВ от СМ ПС Правобережная яч. 36 до РП яч. 10, восьмая группа, СПИ 300 месяцев, первоначальная стоимость  51 000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КЛ-10кВ от ПС Правобережная яч. 18 до СМ РП яч. 3, восьмая группа, СПИ 300 месяцев, первоначальная стоимость 25 695 000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КЛ-10кВ от СМ ПС Правобережная яч. 18 до РП яч. 3, восьмая группа, СПИ 300 месяцев, первоначальная стоимость 45 000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Кроме того, в обоснование указанных амортизационных групп ООО «НГСК» была представлена бухгалтерская справка от 03.08.2020 собственника указанного имущества ООО «СЖК», подписанная главным бухгалтером.</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Согласно справке ООО «СЖК» в отношении электросетевого оборудования и кабельных линий 10 кВ было осуществлено исправление принятой к учету десятой амортизационной группы на восьмую.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Анализ представленных первичных документов бухгалтерского учета показал, что по всем вышеперечисленным объектам при заполнении актов о приеме-передаче объектов основных средств допущена ошибка в амортизационной группе (указана десятая амортизационная группа), при этом указанные объекты отнесены собственником к амортизационным группам правильно, по которым определены максимальные СПИ, соответствующие Классификатору, что подтверждается инвентарными карточками, а именно: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электрооборудованию к РП, - седьмая группа (имущество со сроком полезного использования свыше 15 лет до 20 лет включительно) СПИ 240 месяцев;</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КЛ-10кВ от ПС Правобережная яч. 36 до СМ РП яч. 10, восьмая группа, (имущество со сроком полезного использования свыше 20 лет до 25 лет включительно) СПИ 300 месяцев;</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 по КЛ-10кВ от СМ ПС Правобережная яч. 36 до РП яч. 10, восьмая группа, (имущество со сроком полезного использования свыше 20 лет до 25 лет включительно) СПИ 300 месяцев;</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КЛ-10кВ от ПС Правобережная яч. 18 до СМ РП яч. 3, восьмая группа, (имущество со сроком полезного использования свыше 20 лет до 25 лет включительно) СПИ 300 месяцев;</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КЛ-10кВ от СМ ПС Правобережная яч. 18 до РП яч. 3, восьмая группа, (имущество со сроком полезного использования свыше 20 лет до 25 лет включительно) СПИ 300 месяцев.</w:t>
      </w:r>
    </w:p>
    <w:p w:rsidR="00EA26AC" w:rsidRPr="00B806A7" w:rsidRDefault="00EA26AC"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Учитывая, что расходы по амортизационным отчислениям подтверждены собственником документально, департамент предлагает пересмотреть </w:t>
      </w:r>
      <w:r w:rsidR="00A245C4" w:rsidRPr="00B806A7">
        <w:rPr>
          <w:rFonts w:ascii="Times New Roman" w:eastAsia="Times New Roman" w:hAnsi="Times New Roman"/>
          <w:sz w:val="24"/>
          <w:szCs w:val="24"/>
          <w:lang w:eastAsia="ru-RU"/>
        </w:rPr>
        <w:t xml:space="preserve">расходы по договору аренды № 71-2020/А от 24.07.2020 </w:t>
      </w:r>
      <w:r w:rsidRPr="00B806A7">
        <w:rPr>
          <w:rFonts w:ascii="Times New Roman" w:eastAsia="Times New Roman" w:hAnsi="Times New Roman"/>
          <w:sz w:val="24"/>
          <w:szCs w:val="24"/>
          <w:lang w:eastAsia="ru-RU"/>
        </w:rPr>
        <w:t xml:space="preserve">в </w:t>
      </w:r>
      <w:r w:rsidR="00A245C4" w:rsidRPr="00B806A7">
        <w:rPr>
          <w:rFonts w:ascii="Times New Roman" w:eastAsia="Times New Roman" w:hAnsi="Times New Roman"/>
          <w:sz w:val="24"/>
          <w:szCs w:val="24"/>
          <w:lang w:eastAsia="ru-RU"/>
        </w:rPr>
        <w:t>размере 2 738 400 руб. (в том числе амортизация - 2 738 400 руб.), на том же уровне, поскольку сформированные департаментом расходы не превышают экономически обоснованный размер, рассчитанный на основании требований п. 27, п.п. 5 п. 28 Основ ценообразования, и не превышают установленную указанным договором величину арендной</w:t>
      </w:r>
      <w:r w:rsidR="00A245C4" w:rsidRPr="00B806A7">
        <w:rPr>
          <w:rFonts w:ascii="Times New Roman" w:eastAsia="Times New Roman" w:hAnsi="Times New Roman"/>
          <w:color w:val="FF0000"/>
          <w:sz w:val="24"/>
          <w:szCs w:val="24"/>
          <w:lang w:eastAsia="ru-RU"/>
        </w:rPr>
        <w:t xml:space="preserve"> </w:t>
      </w:r>
      <w:r w:rsidR="00A245C4" w:rsidRPr="00B806A7">
        <w:rPr>
          <w:rFonts w:ascii="Times New Roman" w:eastAsia="Times New Roman" w:hAnsi="Times New Roman"/>
          <w:sz w:val="24"/>
          <w:szCs w:val="24"/>
          <w:lang w:eastAsia="ru-RU"/>
        </w:rPr>
        <w:t>платы.</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u w:val="single"/>
          <w:lang w:eastAsia="ru-RU"/>
        </w:rPr>
        <w:t>Договор № 62-2020/А от 08.07.2020 (Арендодатель ООО "Азия Авто Усть-Каменогорск")</w:t>
      </w:r>
    </w:p>
    <w:p w:rsidR="00A245C4" w:rsidRPr="00B806A7" w:rsidRDefault="00A245C4" w:rsidP="00A245C4">
      <w:pPr>
        <w:tabs>
          <w:tab w:val="left" w:pos="708"/>
          <w:tab w:val="center" w:pos="4153"/>
          <w:tab w:val="right" w:pos="8306"/>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указанному договору в размере 39 758,77 руб. на уровне установленной величины арендной платы.</w:t>
      </w:r>
    </w:p>
    <w:p w:rsidR="00A245C4" w:rsidRPr="00B806A7" w:rsidRDefault="00A245C4" w:rsidP="00A245C4">
      <w:pPr>
        <w:tabs>
          <w:tab w:val="left" w:pos="708"/>
          <w:tab w:val="center" w:pos="4153"/>
          <w:tab w:val="right" w:pos="8306"/>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организацией представлена инвентарная карточка, Трансформаторная подстанция ТП-3513 (кирпичная, отдельностоящая), кадастровый номер 54:35:063645:98, первоначальная стоимость 904 512 руб., СПИ 273 месяца, десятая амортизационная группа.</w:t>
      </w:r>
    </w:p>
    <w:p w:rsidR="00A245C4" w:rsidRPr="00B806A7" w:rsidRDefault="00A245C4" w:rsidP="00A245C4">
      <w:pPr>
        <w:tabs>
          <w:tab w:val="left" w:pos="708"/>
          <w:tab w:val="center" w:pos="4153"/>
          <w:tab w:val="right" w:pos="8306"/>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расчету ООО «НГСК» сумма амортизационных отчислений заявлена в размере               39758,77 руб. исходя из первоначальной стоимости и СПИ - 273 месяца                                             (904 512 /273 * 12).</w:t>
      </w:r>
    </w:p>
    <w:p w:rsidR="00A245C4" w:rsidRPr="00B806A7" w:rsidRDefault="00A245C4" w:rsidP="00A245C4">
      <w:pPr>
        <w:tabs>
          <w:tab w:val="left" w:pos="708"/>
          <w:tab w:val="center" w:pos="4153"/>
          <w:tab w:val="right" w:pos="8306"/>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Специалистом департамента дополнительно проведен анализ экономической обоснованности по договору аренды № 62-2020/А от 08.07.2020, заключенному ООО «НГСК» с ООО «Азия Авто Усть-Каменогорск», на предмет соответствия требованиям п. 27 и п.п. 5 п. 28 Основ ценообразования.</w:t>
      </w:r>
    </w:p>
    <w:p w:rsidR="00A245C4" w:rsidRPr="00B806A7" w:rsidRDefault="00A245C4" w:rsidP="00A245C4">
      <w:pPr>
        <w:tabs>
          <w:tab w:val="left" w:pos="708"/>
          <w:tab w:val="center" w:pos="4153"/>
          <w:tab w:val="right" w:pos="8306"/>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Амортизационная группа в отношении указанной ТП определена Арендодателем в соответствии с Классификатором, при этом СПИ 273 месяца не соответствует максимальному СПИ (для десятой амортизационной группы), установленному Классификатором.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этой связи произведен расчет суммы амортизационных отчислений (в размере                         30 066,88 руб.) исходя из первоначальной стоимости ТП-3513 и максимального СПИ, установленного Классификатором (904 512 /361*12).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Кроме того, в целях обоснования экономически обоснованного размера арендной платы  ООО «НГСК» дополнительно представлены налоговые декларации по налогу на имущество за 2020-2023 годы. Расходы, связанные с уплатой налога на имущество, не учитывались департаментом при установлении (корректировке) НВВ ООО «НГСК» на 2023-2024 годы в связи с непредставлением налоговых деклараций собственника на момент установления тарифов.</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Размер налога на имущество по ТП-3513 рассчитан на 2024 год в размере 12 318,61 руб. исходя из среднегодовой стоимости имущества в размере 559 936,62 и налоговой ставки в размере 2,2% (за 2023 год налог на имущество - 13 191,17 руб.). Величина налоговой ставки учтена в соответствии с подпунктом 1) статьи 4.2 Закона Новосибирской области от 16 октября 2003 № 142-ОЗ.</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результате, экономически обоснованный размер арендной платы по указанному договору составит:</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на 2024 год - 42 385,49 руб., в том числе амортизационные отчисления - 30 066,88 руб. налог на имущество - 12 318,61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на 2023 год - 43 258,05 руб., в том числе амортизационные отчисления - 30 066,88 руб. налог на имущество - 13 191,17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на 2022 год - 44 134,87 руб., в том числе амортизационные отчисления - 30 066,88 руб. налог на имущество - 14 067,98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Кроме того, департаментом проведен сравнительный стоимости арендной платы по         ТП-3513, арендуемой по договору № 62-2020/А от 08.07.2020, которая составила на 2023-2024 годы 39 758,77 руб., что ниже экономически обоснованного размера амортизационных отчислений и налога на имущество на 2024 год в суммарном размере 42 385,49 руб., на 2023 год - 43 258,05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Таким образом, департаментом расходы по договору аренды № 62-2020/А от 08.07.2020 рассчитаны на 2023 и 2024 годы в размере 39 758,77  руб., на том же уровне, поскольку сформированные департаментом расходы не превышают экономически обоснованный размер, рассчитанный на основании требований п. 27, п.п. 5 п. 28 Основ ценообразования, и не превышают установленную указанным договором величину арендной платы.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Кроме того, дополнительно подлежат исключению расходы по корректировке НВВ ООО «НГСК» на 2022 год в размере 7 425,13 руб. в части корректировки размера амортизационных отчислений (44 134,87 - 51 560,00).</w:t>
      </w:r>
    </w:p>
    <w:p w:rsidR="00A245C4" w:rsidRPr="00B806A7" w:rsidRDefault="00A245C4" w:rsidP="00A245C4">
      <w:pPr>
        <w:spacing w:after="0" w:line="240" w:lineRule="auto"/>
        <w:ind w:firstLine="709"/>
        <w:rPr>
          <w:rFonts w:ascii="Times New Roman" w:eastAsia="Times New Roman" w:hAnsi="Times New Roman"/>
          <w:bCs/>
          <w:sz w:val="24"/>
          <w:szCs w:val="24"/>
          <w:u w:val="single"/>
          <w:lang w:eastAsia="ru-RU"/>
        </w:rPr>
      </w:pPr>
      <w:r w:rsidRPr="00B806A7">
        <w:rPr>
          <w:rFonts w:ascii="Times New Roman" w:eastAsia="Times New Roman" w:hAnsi="Times New Roman"/>
          <w:bCs/>
          <w:sz w:val="24"/>
          <w:szCs w:val="24"/>
          <w:u w:val="single"/>
          <w:lang w:eastAsia="ru-RU"/>
        </w:rPr>
        <w:t>Договор № 73-2020/А от 06.08.2020</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 73-2020/А от 06.08.2020 в размере 120 350,35 руб. на уровне установленной величины арендной платы.</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расчету ООО «НГСК» сумма амортизационных отчислений заявлена в размере               120350,35 руб., в том числе по КТПН-3103 в размере 70 887,59 руб. исходя из первоначальной стоимости 1 423 659 руб. и СПИ - 241 месяц (1423659 /241 * 12).</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составе обосновывающих материалов ООО «НГСК» представлены первичные данные бухгалтерского учета, в том числе в отношении трансформаторной подстанции КТПН-3103 инвентарная карточка учета объекта основных средств с 8 амортизационной группой (имущество со сроком полезного использования свыше 20 лет до 25 лет включительно), сроком полезного использования (далее – СПИ) 241 мес., принята на учет 05.08.2020, первоначальная стоимость 1 423 659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соответствии с Классификатором "ОК 013-2014 (СНС 2008). Общероссийский классификатор основных фондов", утвержденным Приказом Росстандарта от 12.12.2014 N 2018-ст), машины энергосиловые и сварочные путевые и агрегаты (трансформаторы электрические, преобразователи статические и индукторы; выключатели, контакторы и реверсоры переменного тока высокого напряжения; разъединители, короткозамыкатели, отделители, заземлители переменного тока высокого напряжения; трансформаторы напряжения высоковольтные; оборудование силовое тяговых подстанций, постов секционирования, пунктов параллельного соединения, приборы и приспособления для их монтажа и эксплуатационного обслуживания) определен ОКОФ 330.30.20.31.117 и отнесен Классификатором в седьмую амортизационную группу со сроком полезного использования от 15 до 20 лет включительно.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КТПН-3103 неправомерно отнесен собственником к восьмой амортизационной группе, поскольку амортизационная группа конкретного актива определяется по его наименованию и с учетом информации, указанной в примечании Классификатора. Данная группа не содержит классификацию оборудования трансформаторной подстанции.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Учитывая, что срок полезного использования активов и отнесение этих активов к соответствующей амортизационной группе определяется регулирующим органом в соответствии с максимальными СПИ, установленными Классификатором (с учетом решения ФАС России от 18.07.2024 № СП/63652/24), департаментом при расчете экономического обоснованного размера арендной платы в части амортизационных отчислений в отношении КТПН-3103 определена 7 группа, для которой установлен максимальный СПИ 240 месяцев, а в расчете учтен СПИ 241 месяц на основании первичных данных бухгалтерского учета собственника.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Величина амортизационных отчислений, рассчитанная с учетом максимального СПИ 240 месяцев, составит 71 182,95 руб. (1 423 659/240), при этом в расчете департаментом учтена сумма амортизационных отчислений в меньшем размере 70 887,59 руб. (1 080 300/241*12), что не нарушает требований, предусмотренных п. 27 Основ ценообразования.</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Во исполнение Предписания ФАС России департаментом дополнительно проведен анализ обосновывающих документов на соответствие требованиям п. 27 и п.п. 5 п. 28 Основ ценообразования, представленных ООО «НГСК» в составе материалов тарифного дела.</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Учитывая, что собственником имущество отнесено к восьмой группе специалистом департамента пересчитаны расходы на амортизационные отчисления только в отношении КТПН-3103 в размере 56946,36 руб. исходя из СПИ 300 месяцев, установленного Классификатором для восьмой группы, поскольку расходы на амортизационные отчислениям по кабельным линиям (определена восьмая группа) были сформированы исходя из максимального СПИ 300 месяцев.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результате пересмотра расходов по арендной плате по указанному договору в составе НВВ ООО «НГСК» на 2024 год подлежат учету расходы в размере 106 409,12 руб., сформированные на уровне амортизационных отчислений на основании требований п. 27, п.п. 5 п. 28 Основ ценообразования; сокращение от установленной департаментом величины составило 13 941,23 руб.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Аналогичным образом подлежат пересмотру расходы по арендной плате по указанному договору на 2023 год в размере 106 409,12 руб. (сокращение от установленной департаментом величины составило 13 941,23 руб.), а также корректировка расходов на 2022 год - 106 409,12 руб. (сокращение от установленной департаментом величины в ценах </w:t>
      </w:r>
      <w:r w:rsidR="00AE65E5" w:rsidRPr="00B806A7">
        <w:rPr>
          <w:rFonts w:ascii="Times New Roman" w:eastAsia="Times New Roman" w:hAnsi="Times New Roman"/>
          <w:sz w:val="24"/>
          <w:szCs w:val="24"/>
          <w:lang w:eastAsia="ru-RU"/>
        </w:rPr>
        <w:t xml:space="preserve">соответствующих лет </w:t>
      </w:r>
      <w:r w:rsidRPr="00B806A7">
        <w:rPr>
          <w:rFonts w:ascii="Times New Roman" w:eastAsia="Times New Roman" w:hAnsi="Times New Roman"/>
          <w:sz w:val="24"/>
          <w:szCs w:val="24"/>
          <w:lang w:eastAsia="ru-RU"/>
        </w:rPr>
        <w:t>составило 13 941,23 руб.).</w:t>
      </w:r>
    </w:p>
    <w:p w:rsidR="00A245C4" w:rsidRPr="00B806A7" w:rsidRDefault="00A245C4" w:rsidP="00A245C4">
      <w:pPr>
        <w:spacing w:after="0" w:line="240" w:lineRule="auto"/>
        <w:ind w:firstLine="709"/>
        <w:rPr>
          <w:rFonts w:ascii="Times New Roman" w:eastAsia="Times New Roman" w:hAnsi="Times New Roman"/>
          <w:color w:val="000000"/>
          <w:sz w:val="24"/>
          <w:szCs w:val="24"/>
          <w:u w:val="single"/>
          <w:lang w:eastAsia="ru-RU"/>
        </w:rPr>
      </w:pPr>
      <w:r w:rsidRPr="00B806A7">
        <w:rPr>
          <w:rFonts w:ascii="Times New Roman" w:eastAsia="Times New Roman" w:hAnsi="Times New Roman"/>
          <w:color w:val="000000"/>
          <w:sz w:val="24"/>
          <w:szCs w:val="24"/>
          <w:u w:val="single"/>
          <w:lang w:eastAsia="ru-RU"/>
        </w:rPr>
        <w:t>Договор № 65-2020/А от 17.07.2020</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ООО «НГСК» заявлены расходы по арендной плате по договору № 65-2020/А от 17.07.2020 в размере 508 744,61 руб. (в размере амортизационных отчислений).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Арендная плата по указанному договору на 2024 год составляет 514 800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составе обосновывающих материалов ООО «НГСК» представлены первичные данные бухгалтерского учета, в том числе в отношении оборудования ТП 9-226 инвентарная карточка учета объекта основных средств с 8 амортизационной группой (имущество со сроком полезного использования свыше 20 лет до 25 лет включительно), СПИ 240 мес., принята на учет 05.12.2023, первоначальная стоимость 3 965 126 руб.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соответствии с Классификатором "ОК 013-2014 (СНС 2008). Общероссийский классификатор основных фондов" машины энергосиловые и сварочные путевые и агрегаты (трансформаторы электрические, преобразователи статические и индукторы; выключатели, контакторы и реверсоры переменного тока высокого напряжения; разъединители, короткозамыкатели, отделители, заземлители переменного тока высокого напряжения; трансформаторы напряжения высоковольтные; оборудование силовое тяговых подстанций, постов секционирования, пунктов параллельного соединения, приборы и приспособления для их монтажа и эксплуатационного обслуживания) определен ОКОФ 330.30.20.31.117 и отнесен Классификатором в седьмую амортизационную группу со сроком полезного использования от 15 до 20 лет включительно.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Кроме того, в решении ФАС России от 18.07.2024 № СП/63652/24 указано на неправомерное отнесение органом регулирования объектов электросетевого хозяйства при определении амортизационных групп для целей тарифного регулирования, в частности для электросетевого оборудования РП, РУ, ТП: «</w:t>
      </w:r>
      <w:r w:rsidRPr="00B806A7">
        <w:rPr>
          <w:rFonts w:ascii="Times New Roman" w:eastAsia="Times New Roman" w:hAnsi="Times New Roman"/>
          <w:i/>
          <w:sz w:val="24"/>
          <w:szCs w:val="24"/>
          <w:lang w:eastAsia="ru-RU"/>
        </w:rPr>
        <w:t>Также оборудование распределительных подстанций, распределительных устройств, трансформаторных подстанций относится 7 амортизационной группе (срок полезного использования свыше 15 лет до 20 лет включительно) ОКОФ 320.26.30.11.190 «Коммутационное, стативное и прочее релейное и электромеханическое оборудование; оборудование электрораспределительное; шкафы и щиты питания по постоянному току; оборудование вводно-кабельное и вводно-коммутационное</w:t>
      </w:r>
      <w:r w:rsidRPr="00B806A7">
        <w:rPr>
          <w:rFonts w:ascii="Times New Roman" w:eastAsia="Times New Roman" w:hAnsi="Times New Roman"/>
          <w:sz w:val="24"/>
          <w:szCs w:val="24"/>
          <w:lang w:eastAsia="ru-RU"/>
        </w:rPr>
        <w:t>».</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Следовательно, оборудование ТП неправомерно отнесено собственником к восьмой амортизационной группе, поскольку амортизационная группа конкретного актива определяется по его наименованию и с учетом информации, указанной в примечании Классификатора. Данная группа не содержит классификацию оборудования трансформаторной подстанции.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этой связи департаментом при расчете экономического обоснованного размера арендной платы в части амортизационных отчислений в отношении оборудования ТП 9-226 определена 7 группа, для которой установлен максимальный СПИ 240 месяцев, на основании первичных данных бухгалтерского учета собственника, а также максимального срока, установленного Классификатором.</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Величина амортизационных отчислений, рассчитанная с учетом максимального СПИ 240 месяцев, составит 197 433,66 руб. (3 965 126 /2408*12), что соответствует требованиям, предусмотренным п. 27 Основ ценообразования.</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Учитывая, что собственником оборудование ТП 9-226 отнесено к восьмой группе специалистом департамента пересмотрены расходы на амортизационные отчисления по указанному договору исключительно в отношении указанного оборудования в размере 158605,04 руб. исходя из СПИ 300 месяцев, установленного Классификатором для восьмой группы.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результате пересмотра расходов по арендной плате по указанному договору в составе НВВ ООО «НГСК» на 2024 год подлежат учету расходы в размере 469 915,99 руб., сформированные на уровне амортизационных отчислений на основании требований п. 27, п.п. 5 п. 28 Основ ценообразования; сокращение от установленной департаментом величины составило 38 828,62 руб.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Аналогичным образом подлежат пересмотру расходы по арендной плате по указанному договору на 2023 год в размере 469 915,99 руб. (сокращение от установленной департаментом величины составило 38 828,62 руб.), а также корректировка расходов на 2022 год  - 469 915,99 руб. (сокращение от установленной департаментом величины в ценах </w:t>
      </w:r>
      <w:r w:rsidR="00C064EA" w:rsidRPr="00B806A7">
        <w:rPr>
          <w:rFonts w:ascii="Times New Roman" w:eastAsia="Times New Roman" w:hAnsi="Times New Roman"/>
          <w:sz w:val="24"/>
          <w:szCs w:val="24"/>
          <w:lang w:eastAsia="ru-RU"/>
        </w:rPr>
        <w:t xml:space="preserve">соответствующих лет </w:t>
      </w:r>
      <w:r w:rsidRPr="00B806A7">
        <w:rPr>
          <w:rFonts w:ascii="Times New Roman" w:eastAsia="Times New Roman" w:hAnsi="Times New Roman"/>
          <w:sz w:val="24"/>
          <w:szCs w:val="24"/>
          <w:lang w:eastAsia="ru-RU"/>
        </w:rPr>
        <w:t xml:space="preserve">составило 38 828,62 руб.). </w:t>
      </w:r>
    </w:p>
    <w:p w:rsidR="00A245C4" w:rsidRPr="00B806A7" w:rsidRDefault="00A245C4" w:rsidP="00A245C4">
      <w:pPr>
        <w:spacing w:after="0" w:line="240" w:lineRule="auto"/>
        <w:ind w:firstLine="709"/>
        <w:jc w:val="both"/>
        <w:rPr>
          <w:rFonts w:ascii="Times New Roman" w:eastAsia="Times New Roman" w:hAnsi="Times New Roman"/>
          <w:color w:val="000000"/>
          <w:sz w:val="24"/>
          <w:szCs w:val="24"/>
          <w:u w:val="single"/>
          <w:lang w:eastAsia="ru-RU"/>
        </w:rPr>
      </w:pPr>
      <w:r w:rsidRPr="00B806A7">
        <w:rPr>
          <w:rFonts w:ascii="Times New Roman" w:eastAsia="Times New Roman" w:hAnsi="Times New Roman"/>
          <w:color w:val="000000"/>
          <w:sz w:val="24"/>
          <w:szCs w:val="24"/>
          <w:u w:val="single"/>
          <w:lang w:eastAsia="ru-RU"/>
        </w:rPr>
        <w:t>Договор № 28-2021/А от 16.07.2021</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 28-2021/А от 16.07.2021 в размере 681 226,90 руб., на уровне установленной величины арендной платы.</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ООО «НГСК» представлен расчет амортизационных отчислений по арендуемым объектам электросетевого хозяйства, предусмотренным указанным договором, на общую сумму                           681 226,90 руб., в том числе по электрооборудованию РТП 10, которое включает в себя  трансформатор ТМГ-СЭЩ-1000-10/0,4-У1 на сумму 619640,5 руб. (12 392 810/240*12), выполненный исходя из первоначальной стоимости и СПИ, принятого в расчет на основании первичных данных бухгалтерского учета собственника.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был проведен анализ представленных документов на предмет соответствия требованиям п. 27 и п.п. 5 п. 28 Основ ценообразования, в том числе по электроообрудованию РТП 10. Следует отметить, что расходы рассчитаны в целом по электрооборудованию, а не только по трансформатору ТМГ-СЭЩ-1000-10/0,4-У1.</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составе обосновывающих материалов ООО «НГСК» представлены инвентарные карточки учета объекта основных средств (унифицированная форма ОС-6), в том числе по электрооборудованию РТП 10, которое в том числе включает в себя трансформатор ТМГ-СЭЩ-1000-10/0,4-У1. Согласно указанной карточке: 8 амортизационная группа (имущество со сроком полезного использования свыше 20 лет до 25 лет включительно), СПИ 240 мес., постановка на учет 01.06.2019, первоначальная стоимость электрооборудования - 12 392 810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связи с тем, что оборудование ТП неправомерно отнесено собственником к восьмой амортизационной группе по основаниям изложенным выше, руководствуясь требованиями, предусмотренными п. 27 Основ ценообразования, специалистом департаментом определена седьмая амортизационная группа, величина амортизационных отчислений рассчитана с учетом максимального СПИ 240 месяцев, которая составила 619640,5 руб. (12 392 810/240*12).</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дополнительно были запрошены документы бухгалтерского учета, подтверждающие начисление собственником амортизации за 2021-2023 (ОС-6, ведомость амортизации, карточки счетов: 01 «основные средства», 02 «Амортизация основных средств», отчет по проводкам за указанный период).</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указанным документам начисление амортизации по электрооборудованию РТП 10 составило: за 2021 –619640,5 руб. руб., за 2022 –619640,5 руб., за 2023 года - 619640,5 руб.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Учитывая, что собственником электрооборудование РТП 10 отнесено к восьмой группе специалистом департамента пересмотрены расходы на амортизационные отчисления по указанному договору исключительно в отношении указанного оборудования в размере 495712,4 руб. исходя из СПИ 300 месяцев, установленного Классификатором для восьмой группы.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результате пересмотра расходов по арендной плате по указанному договору в составе НВВ ООО «НГСК» на 2024 год подлежат учету расходы в размере 557 298,80 руб., сформированные на уровне амортизационных отчислений на основании требований п. 27, п.п. 5 п. 28 Основ ценообразования; сокращение от установленной департаментом величины составило 123 928,10 руб.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Аналогичным образом подлежат пересмотру расходы по арендной плате по указанному договору на 2023 год в размере 557 298,80 руб. (сокращение от установленной департаментом величины составило 123 928,10 руб.), а также корректировка расходов на 2022 год  -                       557 298,80 руб. (сокращение от установленной департаментом величины в ценах </w:t>
      </w:r>
      <w:r w:rsidR="00C064EA" w:rsidRPr="00B806A7">
        <w:rPr>
          <w:rFonts w:ascii="Times New Roman" w:eastAsia="Times New Roman" w:hAnsi="Times New Roman"/>
          <w:sz w:val="24"/>
          <w:szCs w:val="24"/>
          <w:lang w:eastAsia="ru-RU"/>
        </w:rPr>
        <w:t xml:space="preserve">соответствующих лет </w:t>
      </w:r>
      <w:r w:rsidRPr="00B806A7">
        <w:rPr>
          <w:rFonts w:ascii="Times New Roman" w:eastAsia="Times New Roman" w:hAnsi="Times New Roman"/>
          <w:sz w:val="24"/>
          <w:szCs w:val="24"/>
          <w:lang w:eastAsia="ru-RU"/>
        </w:rPr>
        <w:t xml:space="preserve">составило 123 928,10 руб.). </w:t>
      </w:r>
    </w:p>
    <w:p w:rsidR="00A245C4" w:rsidRPr="00B806A7" w:rsidRDefault="00A245C4" w:rsidP="00A245C4">
      <w:pPr>
        <w:spacing w:after="0" w:line="240" w:lineRule="auto"/>
        <w:ind w:firstLine="709"/>
        <w:jc w:val="both"/>
        <w:rPr>
          <w:rFonts w:ascii="Times New Roman" w:eastAsia="Times New Roman" w:hAnsi="Times New Roman"/>
          <w:color w:val="000000"/>
          <w:sz w:val="24"/>
          <w:szCs w:val="24"/>
          <w:u w:val="single"/>
          <w:lang w:eastAsia="ru-RU"/>
        </w:rPr>
      </w:pPr>
      <w:r w:rsidRPr="00B806A7">
        <w:rPr>
          <w:rFonts w:ascii="Times New Roman" w:eastAsia="Times New Roman" w:hAnsi="Times New Roman"/>
          <w:color w:val="000000"/>
          <w:sz w:val="24"/>
          <w:szCs w:val="24"/>
          <w:u w:val="single"/>
          <w:lang w:eastAsia="ru-RU"/>
        </w:rPr>
        <w:t>Договор № 31-2021/А от 03.08.2021</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ООО «НГСК» заявлены расходы по арендной плате по договору № 31-2021/А от 03.08.2021 в размере 540 100 руб., на уровне амортизационных отчислений, рассчитанных на основании требований, предусмотренных п. 27 и пп 5 п. 28 Основ ценообразования.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Организацией представлен расчет амортизационных отчислений по арендуемым объектам электросетевого хозяйства, предусмотренным указанным договором, на общую сумму                            540 100 руб., в том числе по электрооборудованию РТП-4770, на сумму 498 392,70 руб.                       (9 967 854,00/240*12), выполненный исходя из первоначальной стоимости и СПИ, принятого в расчет на основании первичных данных бухгалтерского учета собственника.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составе обосновывающих материалов ООО «НГСК» представлены инвентарные карточки учета объекта основных средств (унифицированные формы ОС-6), в том числе по электрооборудованию РТП-4770, согласно которой собственником определена при постановке на учет (постановка на учет 01.09.2021): 8 амортизационная группа (имущество со сроком полезного использования свыше 20 лет до 25 лет включительно), СПИ 240 мес., первоначальная стоимость электрооборудования - 9 967 854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связи с тем, что оборудование РТП-4770 неправомерно отнесено собственником к восьмой амортизационной группе по основаниям изложенным выше, руководствуясь требованиями, предусмотренными п. 27 Основ ценообразования, специалистом департаментом определена седьмая амортизационная группа, величина амортизационных отчислений рассчитана с учетом максимального СПИ 240 месяцев, которая составила 498 392,70 руб.         (9 967 854 /240*12).</w:t>
      </w:r>
    </w:p>
    <w:p w:rsidR="00A245C4" w:rsidRPr="00B806A7" w:rsidRDefault="00A245C4" w:rsidP="00A245C4">
      <w:pPr>
        <w:tabs>
          <w:tab w:val="left" w:pos="708"/>
          <w:tab w:val="center" w:pos="4153"/>
          <w:tab w:val="right" w:pos="8306"/>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Кроме того, департаментом был проведен сравнительный стоимости арендной платы по всем объектам электросетевого хозяйства, арендуемым по договору № 31-2021/А от 03.08.2021, которая составила на регулируемый период 540 000 руб., что ниже экономически обоснованного размера амортизационных отчислений в размере 540 100 руб.</w:t>
      </w:r>
    </w:p>
    <w:p w:rsidR="00A245C4" w:rsidRPr="00B806A7" w:rsidRDefault="00A245C4" w:rsidP="00A245C4">
      <w:pPr>
        <w:tabs>
          <w:tab w:val="left" w:pos="708"/>
          <w:tab w:val="center" w:pos="4153"/>
          <w:tab w:val="right" w:pos="8306"/>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Во исполнение Предписания ФАС России департаментом дополнительно проведен анализ обосновывающих документов на соответствие требованиям п. 27 и п.п. 5 п. 28 Основ ценообразования, представленных ООО «НГСК» в составе материалов тарифного дела.</w:t>
      </w:r>
    </w:p>
    <w:p w:rsidR="00A245C4" w:rsidRPr="00B806A7" w:rsidRDefault="00A245C4" w:rsidP="00A245C4">
      <w:pPr>
        <w:tabs>
          <w:tab w:val="left" w:pos="708"/>
          <w:tab w:val="center" w:pos="4153"/>
          <w:tab w:val="right" w:pos="8306"/>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Учитывая, что собственником электрооборудование РТП-4770 отнесено к восьмой группе специалистом департамента пересмотрены расходы на амортизационные отчисления по указанному договору исключительно в отношении указанного оборудования в размере 398714,16 руб. исходя из СПИ 300 месяцев, установленного Классификатором для восьмой группы. </w:t>
      </w:r>
    </w:p>
    <w:p w:rsidR="00A245C4" w:rsidRPr="00B806A7" w:rsidRDefault="00A245C4" w:rsidP="00A245C4">
      <w:pPr>
        <w:tabs>
          <w:tab w:val="left" w:pos="708"/>
          <w:tab w:val="center" w:pos="4153"/>
          <w:tab w:val="right" w:pos="8306"/>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результате пересмотра расходов по арендной плате по указанному договору в составе НВВ ООО «НГСК» на 2024 год подлежат учету расходы в размере 440 421,46 руб., сформированные на уровне амортизационных отчислений на основании требований п. 27, п.п. 5 п. 28 Основ ценообразования; сокращение от установленной департаментом величины составило 99 678,54 руб. </w:t>
      </w:r>
    </w:p>
    <w:p w:rsidR="00A245C4" w:rsidRPr="00B806A7" w:rsidRDefault="00A245C4" w:rsidP="00A245C4">
      <w:pPr>
        <w:tabs>
          <w:tab w:val="left" w:pos="708"/>
          <w:tab w:val="center" w:pos="4153"/>
          <w:tab w:val="right" w:pos="8306"/>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Аналогичным образом подлежат пересмотру расходы по арендной плате по указанному договору на 2023 год в размере 440 421,46 руб. (сокращение от установленной департаментом величины составило 99 678,54 руб.), а также корректировка расходов на 2022 год  -                       440 421,46 руб. (сокращение от установленной департаментом величины в ценах </w:t>
      </w:r>
      <w:r w:rsidR="00C064EA" w:rsidRPr="00B806A7">
        <w:rPr>
          <w:rFonts w:ascii="Times New Roman" w:eastAsia="Times New Roman" w:hAnsi="Times New Roman"/>
          <w:sz w:val="24"/>
          <w:szCs w:val="24"/>
          <w:lang w:eastAsia="ru-RU"/>
        </w:rPr>
        <w:t xml:space="preserve">соответствующих лет </w:t>
      </w:r>
      <w:r w:rsidRPr="00B806A7">
        <w:rPr>
          <w:rFonts w:ascii="Times New Roman" w:eastAsia="Times New Roman" w:hAnsi="Times New Roman"/>
          <w:sz w:val="24"/>
          <w:szCs w:val="24"/>
          <w:lang w:eastAsia="ru-RU"/>
        </w:rPr>
        <w:t>составило 99 678,54 руб.).</w:t>
      </w:r>
    </w:p>
    <w:p w:rsidR="00A245C4" w:rsidRPr="00B806A7" w:rsidRDefault="00A245C4" w:rsidP="00A245C4">
      <w:pPr>
        <w:tabs>
          <w:tab w:val="left" w:pos="708"/>
          <w:tab w:val="center" w:pos="4153"/>
          <w:tab w:val="right" w:pos="8306"/>
        </w:tabs>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Договор № 13-2022/А от 30.08.2022</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договору аренды № 13-2022/А от 30.08.2022 в размере 1 174 590,35 руб. на  уровне установленной величины арендной платы (расходы на амортизационные отчисления в размере 1 174 590,35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При этом при расчете амортизационных отчислений департаментом не учитывалось электрооборудование (0,4 кВ ТП 3205; 0,4 кВ ТП 3206; 0,4 кВ ТП 3208, 0,4 кВ Тп 3207) – СПИ - 85 месяцев, поскольку данные объекты самортизированы.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организацией представлены акты о приеме-передаче объектов основных средств (унифицированная форма ОС-1), в которых отражена следующая информация, в том числе:</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Трансформатор силовой ТСГЛ/10-УЗ, с инвентарным номером БП-000000125, первоначальная стоимость 1 315 595,50 руб., седьмая группа, СПИ 181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Электрооборудование 10 кВ ТП 3206, с инвентарным номером БП-000000127, первоначальная стоимость 2 516 485,68 руб., седьмая группа, СПИ 181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Трансформатор силовой ТСГЛ/10-УЗ, с инвентарным номером БП-000000128, первоначальная стоимость 1 305 604,44 руб., седьмая группа, СПИ 181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Трансформатор силовой ТСГЛ/10-УЗ, с инвентарным номером БП-000000129, первоначальная стоимость  1 305 604,44 руб., седьмая группа, СПИ 181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Трансформатор силовой ТСГЛ/10-УЗ, с инвентарным номером БП-000000134, первоначальная стоимость  1 546 446,17 руб., седьмая группа, СПИ 181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Трансформатор силовой ТСГЛ/10-УЗ, с инвентарным номером БП-000000135, первоначальная стоимость  1 546 446,17 руб., седьмая группа, СПИ 181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Трансформатор силовой ТСГЛ/10-УЗ, с инвентарным номером БП-000000131, первоначальная стоимость  1 445 959,07 руб., седьмая группа, СПИ 181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Трансформатор силовой ТСГЛ/10-УЗ, с инвентарным номером БП-000000132, первоначальная стоимость  1 445 959,07 руб., седьмая группа, СПИ 181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Трансформатор силовой ТСГЛ/10-УЗ, с инвентарным номером БП-000000124, первоначальная стоимость 1 315 595,50 руб., седьмая группа, СПИ 181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Электрооборудование 10 кВ ТП 3205, с инвентарным номером БП-000000123, первоначальная стоимость  2 535 742,93 руб., седьмая группа, СПИ 181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КЛ от ТП 3206 яч.6 до Т2 ТП 3208 (60 м), с инвентарным номером БП-000000122, первоначальная стоимость  291 223,04 руб., восьмая группа, СПИ 241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КЛ от ТП 3206 яч.5 до Т1 ТП 3208 (60 м), с инвентарным номером БП-000000121, первоначальная стоимость  291 223,04 руб., восьмая группа, СПИ 241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КЛ от ТП 3205 яч. 7 до ТП 3206 яч.1 (150 м), с инвентарным номером БП-000000120, первоначальная стоимость  416 032,91 руб., восьмая группа, СПИ 241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КЛ от ТП 3205 яч. 4 до Т2 ТП 3207 (80 м), с инвентарным номером БП-000000119, первоначальная стоимость  332 826,33 руб., восьмая группа, СПИ 241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КЛ от ТП 3205 яч.3 до Т1 ТП 3207 (80 м), с инвентарным номером БП-000000119, первоначальная стоимость  332 826,33 руб., восьмая группа, СПИ 241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КЛ от ТП 3205 яч.3 до Т1 ТП 3207 (80 м), с инвентарным номером БП-000000118, первоначальная стоимость  249 619,75 руб., восьмая группа, СПИ 241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КЛ от ТП 3205 яч.2 до ТП 3206 яч.8 (150 м), с инвентарным номером БП-000000117, первоначальная стоимость  416 032,91руб., восьмая группа, СПИ 241 мес.);</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Анализ первичных документов бухгалтерского учета показал, что в представленных карточках не отражена амортизационная группа, при этом СПИ по вышеперечисленным средствам определены собственником по Классификатору (по электросетевому оборудованию 10 кВ и силовым трансформаторам ТСГЛ/10-УЗ (8 шт.)– седьмая группа, по КЛ – восьмая группа, дата постановки на учет всех вышеперечисленных средств - 07.05.2011.</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На основании требований п. 27 Основ ценообразования СПИ активов и отнесение этих активов к соответствующей амортизационной группе определяются регулирующим органом в соответствии с максимальными СПИ, установленными Классификатором, с учетом редакции действующей на дату принятия собственником к учету основного средства.</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Согласно Классификатору </w:t>
      </w:r>
      <w:r w:rsidRPr="00B806A7">
        <w:rPr>
          <w:rFonts w:ascii="Times New Roman" w:eastAsia="Times New Roman" w:hAnsi="Times New Roman"/>
          <w:sz w:val="24"/>
          <w:szCs w:val="24"/>
          <w:u w:val="single"/>
          <w:lang w:eastAsia="ru-RU"/>
        </w:rPr>
        <w:t>в редакции действующей до 01.01.2017</w:t>
      </w:r>
      <w:r w:rsidRPr="00B806A7">
        <w:rPr>
          <w:rFonts w:ascii="Times New Roman" w:eastAsia="Times New Roman" w:hAnsi="Times New Roman"/>
          <w:sz w:val="24"/>
          <w:szCs w:val="24"/>
          <w:lang w:eastAsia="ru-RU"/>
        </w:rPr>
        <w:t xml:space="preserve"> в отношении кабельной линии была определена 8 группа (имущество со сроком полезного использования свыше 20 лет до 25 лет включительно), подстанции трансформаторной комплектной с ОКОФ      14 3115020 - седьмая группа (имущество со сроком полезного использования свыше 15 лет до 20 лет включительно).</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связи с допущенной специалистом департамента технической ошибкой при расчете амортизационных отчислений по договору аренды № 13-2022/А от 30.08.2022 произведен пересчет на уровне, равном сумме отношений стоимости по указанным амортизируемым основным средствам к максимальным СПИ, установленным Классификатором (в редакции действующей до 01.01.2017 года). </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результате, департаментом признаны экономически обоснованными расходы по арендной плате объектов электросетевого хозяйства в размере 890 522 руб. со снижением относительно установленной департаментом на 2024 год величины на 284 068 руб.</w:t>
      </w:r>
    </w:p>
    <w:p w:rsidR="00A245C4" w:rsidRPr="00B806A7" w:rsidRDefault="00A245C4" w:rsidP="00A245C4">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Аналогичным образом подлежат пересмотру расходы по арендной плате по указанному договору на 2023 год в размере 890 522 руб. руб. (сокращение от установленной департаментом величины составило 284 068 руб.). </w:t>
      </w:r>
    </w:p>
    <w:p w:rsidR="00A245C4" w:rsidRPr="00B806A7" w:rsidRDefault="00A245C4" w:rsidP="00A245C4">
      <w:pPr>
        <w:tabs>
          <w:tab w:val="left" w:pos="708"/>
          <w:tab w:val="center" w:pos="4153"/>
          <w:tab w:val="right" w:pos="8306"/>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Таким образом, расходы по договору аренды № 13-2022/А от 30.08.2022 пересмотрены в размере 890 522 руб., поскольку сформированные департаментом расходы не превышают экономически обоснованный размер, рассчитанный на основании требований п. 27, п.п. 5 п. 28 Основ ценообразования, и не превышают установленную указанным договором величину арендной платы.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4. </w:t>
      </w:r>
      <w:r w:rsidRPr="00B806A7">
        <w:rPr>
          <w:rFonts w:ascii="Times New Roman" w:eastAsia="Times New Roman" w:hAnsi="Times New Roman"/>
          <w:sz w:val="24"/>
          <w:szCs w:val="24"/>
          <w:u w:val="single"/>
          <w:lang w:eastAsia="ru-RU"/>
        </w:rPr>
        <w:t>Договор субаренды № 54-2020/А от 08.06.2020</w:t>
      </w:r>
      <w:r w:rsidRPr="00B806A7">
        <w:rPr>
          <w:rFonts w:ascii="Times New Roman" w:eastAsia="Times New Roman" w:hAnsi="Times New Roman"/>
          <w:sz w:val="24"/>
          <w:szCs w:val="24"/>
          <w:lang w:eastAsia="ru-RU"/>
        </w:rPr>
        <w:t xml:space="preserve"> и др.</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указанному договору субаренды в размере 125676 руб. на уровне установленной указанным договором субаренды величины арендной платы.</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организацией представлен акт о приеме-передаче объектов основных средств (унифицированная форма ОС-1) собственника объектов электросетевого хозяйства, с указанием первоначальной стоимости КТПН (в количестве 3 штук) в размере                2 513 644,63 руб., амортизационная группа 7, СПИ – 180 месяцев.</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расчету ООО «НГСК» сумма амортизационных отчислений сформирована в размере               125682,23 руб. исходя из первоначальной стоимости и СПИ - 240 месяцев                                             (2 513 644,63/240*12).</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Специалистом департамента при расчете экономического обоснованного размера арендной платы в части амортизационных отчислений в отношении КТПН (в количестве 3 штук) также определена 7 амортизационная группа, для которой Классификатором установлен максимальный СПИ 240 месяцев на основании требований п. 27 Основ ценообразования.</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Таким образом, амортизационные отчисления рассчитаны по указанным объектам на основании первичных данных бухгалтерского учета в соответствии с требованиями, предусмотренными п. 27, п.п. 5 п. 28 Основ ценообразования.</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результате, расходы по данному договору признаны экономически обоснованными в размере 125676 руб., на том же уровне, поскольку сформированные департаментом расходы, не превышают экономически обоснованный размер, рассчитанный на основании требований п. 27, п.п. 5 п. 28 Основ ценообразования, и не превышают установленную указанным договором величину арендной платы.</w:t>
      </w:r>
    </w:p>
    <w:p w:rsidR="00D30533" w:rsidRPr="00B806A7" w:rsidRDefault="00D30533" w:rsidP="00D30533">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Договор аренды № 24-2020 от 13.04.2020</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указанному договору аренды в размере 804 424,96 руб. на уровне установленной указанным договором величины арендной платы.</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организацией представлены инвентарные карточки учета объектов основных средств, в которых отражена следующая информация:</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ТП-3678, с инвентарным номером 00-0000115, седьмая группа, СПИ 240 месяцев, первоначальная стоимость 11372945 руб.;</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 -по Кабельной линии, с инвентарным номером 00-0000101, шестая группа, СПИ 120 месяцев, первоначальная стоимость 5 953 431 руб.</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расчету ООО «НГСК» сумма амортизационных отчислений по указанным объектам сформирована в размере 804 424,96 руб., в том числе:</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ТП-3678 в размере 566 287,72 руб. исходя из первоначальной стоимости и СПИ 241 месяц (11372945 /241*12);</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кабельной линии в размере 238137,24 руб. исходя из первоначальной стоимости и СПИ 300 месяцев (5 953 431/300*12).</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На основании требований п. 27 Основ ценообразования СПИ активов и отнесение этих активов к соответствующей амортизационной группе определяются регулирующим органом в соответствии с максимальными СПИ, установленными Классификатором (с учетом редакции действующей на дату принятия собственником к учету основного средства).</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Классификатору в редакции действующей до 01.01.2017 в отношении кабельной линии была определена 8 группа (имущество со сроком полезного использования свыше 20 лет до 25 лет включительно), подстанции трансформаторной комплектной с ОКОФ      14 3115020 - седьмая группа.</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 учетом данной нормы департаментом при расчете экономического обоснованного размера арендной платы в части амортизационных отчислений в отношении ТП-3678 также определена 7 группа, для которой установлен максимальный СПИ 240 месяцев, а в расчете учтен СПИ 241 месяц на основании заявленного расчета организации, в отношении Кабельной линии определена восьмая группа с максимальным СПИ 300 месяцев, поскольку дата ее принятия к учету 24.09.2015.</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Следует отметить, что согласно Классификатору величина амортизационных отчислений по ТП-3678, рассчитанная с учетом максимального СПИ 240 месяцев, составит 568 647,25 (11372945/240), при этом в расчете департаментом учтена сумма амортизационных отчислений в меньшем размере 566 287,72 руб. (11372945/241), что не нарушает требований, предусмотренных п. 27 Основ ценообразования.</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дополнительно запрошены документы бухгалтерского учета, подтверждающие начисление собственником амортизации за 2021-2023 годы (ведомости амортизации, карточки счетов: 01 «основные средства», 02 «Амортизация основных средств» за указанный период).</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указанным документам начисление амортизации составило: за 2021 год – 1163990,35  руб., 2022 год - 1163990,35  руб., за 2023 год – 1163990,35 руб.</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Сравнительный анализ представленных документов показал, что начисление амортизации собственником в отношении указанных объектов осуществляется следующим образом: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ТП исходя из первоначальной стоимости и максимального СПИ (240 месяцев), установленного Классификатором для седьмой группы;</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кабельной линии исходя из первоначальной стоимости и минимального СПИ (120 месяцев), установленного Классификатором для шестой группы.</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Таким образом, ООО «НГСК» заявлены расходы по арендной плате (договор аренды № 24-2020 от 13.04.2020), сформированные с учетом требований п. 27, п.п. 5 п. 28 Основ ценообразования исходя из первоначальной стоимости арендуемых объектов, подтвержденных первичными данными бухгалтерского учета, и максимальных СПИ, установленных Классификатором.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результате, расходы по данному договору признаны экономически обоснованными в размере 804 424,96 руб. на том же уровне, поскольку сформированные департаментом расходы, не превышают экономически обоснованный размер, рассчитанный на основании требований п. 27, п.п. 5 п. 28 Основ ценообразования, и не превышает установленную указанным договором величину арендной платы.</w:t>
      </w:r>
    </w:p>
    <w:p w:rsidR="00ED0343" w:rsidRPr="00B806A7" w:rsidRDefault="00D30533" w:rsidP="00D30533">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 xml:space="preserve">Договор № 70-2020/А от 31.07.2020 (Арендодатель АО «Академпарк»)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указанному договору аренды в размере 3 344 364,20 руб., в том числе амортизация -  2 346 260,36 руб., налог на имущество - 998 103,84 руб. (величина арендной платы на 2024 год составляет 4 179 552,25 руб.)</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организацией представлены инвентарные карточки учета объектов основных средств, в которых отражена следующая информация:</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-Блочная трансформаторная подстанция БКТП 10/0,4 кВ № 5, с инвентарным номером БП-000526, седьмая группа, СПИ 240 месяцев, первоначальная стоимость 4 501 512,56 руб.;</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-Блочная трансформаторная подстанция БКТП 10/0,4 кВ № 6, с инвентарным номером БП-000527, седьмая группа, СПИ 240 месяцев, первоначальная стоимость 3 924 705,33 руб.;</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-Блочная трансформаторная подстанция БКТП 10/0,4 кВ № 7, с инвентарным номером БП-000525, седьмая группа, СПИ 240 месяцев, первоначальная стоимость 4 057 880,31 руб.;</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-Электрические сети 0,4 кВ в зоне БКТП № 5 и № 6, № 7, с инвентарным номером БП-000530, восьмая группа, СПИ 300 месяцев, первоначальная стоимость 21 705 521 руб.;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-Электрические сети 10кВ, с инвентарным номером БП-000529, восьмая группа, СПИ 300 месяцев, первоначальная стоимость 21 345 865,26 руб.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расчету ООО «НГСК» сумма амортизационных отчислений по указанным объектам сформирована в размере 2 346 260,36 руб. исходя из первоначальной стоимости и СПИ на основании первичных данных бухгалтерской отчетности Арендодателя.</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Департаментом признаны расходы на амортизационные отчисления в размере                                  2 346 260,36 руб., заявленном ООО «НГСК» по расчету, выполненному в соответствии с требованиями, предусмотренными п. 27, п.п. 5 п.28 Основ ценообразования.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Кроме того, при оценке анализа экономической обоснованности заявленной величины по налогу на имущество в размере 998 103,84 руб. департаментом установлено, что среднегодовая стоимость по указанным объектам рассчитана исходя из остаточной стоимости, которая не соответствует данным налоговой декларации по налогу на имущество Арендодателя за 2022 год, представленной ООО «НГСК» в составе обосновывающих материалов.</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результате, специалистом департамента был произведен расчет по налогу на имущество в отношении указанных объектов, сформированный исходя из среднегодовой стоимости имущества с учетом остаточной стоимости по представленной налоговой декларации по налогу на имущество за 2022 год в размере 959 390,49 руб., со снижением относительно расчета ООО «НГСК» на 38 713,35 руб.</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Таким образом, департаментом признаны расходы по арендной плате по договору                  № 70-2020/А от 31.07.2020 в размере 3 305 650,85 руб., в том числе расходы на амортизационные отчисления в размере 2 346 260,36 руб., по налогу на имущество в размере  959 390,49 руб. на том же уровне, поскольку сформированные департаментом расходы, не превышают экономически обоснованный размер, рассчитанный на основании требований п. 27, п.п. 5 п. 28 Основ ценообразования и не превышают установленную указанным договором величину арендной платы.</w:t>
      </w:r>
    </w:p>
    <w:p w:rsidR="004138E2"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u w:val="single"/>
          <w:lang w:eastAsia="ru-RU"/>
        </w:rPr>
        <w:t>Договор № 16-2021/А от 31.12.2020 (Арендодатель АО «Трансервис»)</w:t>
      </w:r>
      <w:r w:rsidRPr="00B806A7">
        <w:rPr>
          <w:rFonts w:ascii="Times New Roman" w:eastAsia="Times New Roman" w:hAnsi="Times New Roman"/>
          <w:sz w:val="24"/>
          <w:szCs w:val="24"/>
          <w:lang w:eastAsia="ru-RU"/>
        </w:rPr>
        <w:t xml:space="preserve">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указанному договору аренды в размере 381 653,32 руб., в том числе амортизация - 315 362,54 руб., налог на имущество -           66 290,78 руб. (величина арендной платы на 2024 год составляет 381 653,32 руб.)</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по амортизационным отчислениям организацией представлены инвентарные карточки учета объектов основных средств, в которых отражена следующая информация:</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-трансформаторная подстанция ТП-9-1202, девятая амортизационная группа, СПИ 361 месяц, первоначальная стоимость 4 966 993,04 руб.;</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-трансформаторная подстанция ТП-4303, девятая амортизационная группа, СПИ 361 месяц, первоначальная стоимость 4 520 163,42 руб.;</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Учитывая, что СПИ активов и отнесение этих активов к соответствующей амортизационной группе определяется регулирующим органом в соответствии с максимальными СПИ, установленными Классификатором, департаментом при расчете экономического обоснованного размера арендной платы в части амортизационных отчислений в отношении указанных ТП также определена 9 группа, для которой установлен максимальный СПИ 360 месяцев, а в расчете учтен СПИ 361 месяц на основании первичных данных бухгалтерского учета Арендодателя, а также заявленной величины по расчету ООО «НГСК».</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Величина амортизационных отчислений по указанным ТП, рассчитанная с учетом максимального СПИ 360 месяцев, составит  316238,55 руб.                                                                           (4 966 993,04 +4 520 163,42)/360*12), при этом в расчете департаментом учтена сумма амортизационных отчислений в меньшем размере 315 362,54 руб. (4 966 993,04 +                             4 520 163,42)/361*12, что не нарушает требований, предусмотренных п. 27 Основ ценообразования.</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Кроме того, при оценке анализа экономической обоснованности заявленной величины по налогу на имущество в размере 66 290,78 руб. департаментом установлено, что среднегодовая стоимость по указанным объектам рассчитана исходя из остаточной стоимости, которая соответствует данным налоговой декларации по налогу на имущество Арендодателя за 2022 год, представленной ООО «НГСК» в составе обосновывающих материалов.</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результате, расходы по данному договору признаны экономически обоснованными на 2024 год в размере 381 653,32 руб. (амортизация - 315 362,54 руб., налог на имущество -                    66 290,78руб.), на том же уровне, поскольку сформированные департаментом расходы, не превышают экономически обоснованный размер, рассчитанный на основании требований п. 27, п.п. 5 п. 28 Основ ценообразования, и не превышают установленную указанным договором величину арендной платы.</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Кроме того, департаментом установлено, что при расчете налога на имущество на 2023 в размере 73 555,53 тыс. руб. по зданию трансформаторной подстанции ТП-9-1202 в части формирования налоговой базы специалистом департамента допущена техническая ошибка.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налоговой декларации за 2023 год остаточная стоимость по указанному объекту составила 3 095 771,29 руб., среднегодовая стоимость - 3 178 325,19 руб., (в расчете учтено 3 343 432,99 руб.), налог на имущество, рассчитанный по ставке 2,2%, составил                       69 923,15 руб. (в расчете учтено 73 555,53 руб.).</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этой связи департаментом подлежат пересмотру расходы по арендной плате на 2023 год в размере 385 285,70 руб. (амортизация - 315 362,54 руб., налог на имущество - 69 923,15 руб.) в сторону снижения в части расходов по налогу на имущество (на 3 632,37 руб.) в связи с допущенной технической ошибкой при его расчете.   </w:t>
      </w:r>
    </w:p>
    <w:p w:rsidR="00D30533" w:rsidRPr="00B806A7" w:rsidRDefault="00D30533" w:rsidP="00D30533">
      <w:pPr>
        <w:spacing w:after="0" w:line="240" w:lineRule="auto"/>
        <w:ind w:firstLine="709"/>
        <w:jc w:val="both"/>
        <w:rPr>
          <w:rFonts w:ascii="Times New Roman" w:eastAsia="Times New Roman" w:hAnsi="Times New Roman"/>
          <w:color w:val="000000"/>
          <w:sz w:val="24"/>
          <w:szCs w:val="24"/>
          <w:u w:val="single"/>
          <w:lang w:eastAsia="ru-RU"/>
        </w:rPr>
      </w:pPr>
      <w:r w:rsidRPr="00B806A7">
        <w:rPr>
          <w:rFonts w:ascii="Times New Roman" w:eastAsia="Times New Roman" w:hAnsi="Times New Roman"/>
          <w:color w:val="000000"/>
          <w:sz w:val="24"/>
          <w:szCs w:val="24"/>
          <w:u w:val="single"/>
          <w:lang w:eastAsia="ru-RU"/>
        </w:rPr>
        <w:t>Договор № 66-2020/А от 14.08.2020</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указанному договору аренды в размере 70 683,00 руб., в том числе амортизация - 70 683,00 руб., (величина арендной платы на 2024 год составляет 70 692 руб.).</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организацией представлены инвентарные карточки учета объектов основных средств, в которых отражена следующая информация:</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-ЛЭП, с инвентарным номером 00-000011, восьмая группа, СПИ 300 месяцев, первоначальная стоимость 903 700,00 руб.;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-Кабельные сети, с инвентарным номером 00-000012, седьмая группа, СПИ 240 месяцев, первоначальная стоимость 690 700,00 руб.;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расчету ООО «НГСК» сумма амортизационных отчислений по указанным объектам рассчитана в размере 70 683,00 руб. исходя из первоначальной стоимости и СПИ на основании первичных данных бухгалтерской отчетности Арендодателя.</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Департаментом признаны расходы на амортизационные отчисления в размере                                   70 683,00 руб., заявленном ООО «НГСК» по расчету, выполненному в соответствии с требованиями, предусмотренными п. 27, п.п. 5 п.28 Основ ценообразования.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Таким образом, департаментом признаны расходы по арендной плате по договору                   № 66-2020/А от 14.08.2020 в размере 70 683,00 руб., в том числе расходы на амортизационные отчисления в размере 70 683,00 руб., на том же уровне, поскольку сформированные департаментом расходы, не превышают экономически обоснованный размер, рассчитанный на основании требований п. 27, п.п. 5 п. 28 Основ ценообразования и не превышают установленную указанным договором величину арендной платы.</w:t>
      </w:r>
    </w:p>
    <w:p w:rsidR="00D30533" w:rsidRPr="00B806A7" w:rsidRDefault="00D30533" w:rsidP="00D30533">
      <w:pPr>
        <w:spacing w:after="0" w:line="240" w:lineRule="auto"/>
        <w:ind w:firstLine="709"/>
        <w:jc w:val="both"/>
        <w:rPr>
          <w:rFonts w:ascii="Times New Roman" w:eastAsia="Times New Roman" w:hAnsi="Times New Roman"/>
          <w:color w:val="000000"/>
          <w:sz w:val="24"/>
          <w:szCs w:val="24"/>
          <w:u w:val="single"/>
          <w:lang w:eastAsia="ru-RU"/>
        </w:rPr>
      </w:pPr>
      <w:r w:rsidRPr="00B806A7">
        <w:rPr>
          <w:rFonts w:ascii="Times New Roman" w:eastAsia="Times New Roman" w:hAnsi="Times New Roman"/>
          <w:color w:val="000000"/>
          <w:sz w:val="24"/>
          <w:szCs w:val="24"/>
          <w:u w:val="single"/>
          <w:lang w:eastAsia="ru-RU"/>
        </w:rPr>
        <w:t xml:space="preserve">Договор № 05-2017/А от 11.05.2017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указанному договору аренды в размере 2 056 459,44 руб., что соответствует величине, установленной Приложением № 1 к дополнительному соглашению № 6 от 15.02.2022 к договору аренды № 05-2017/А от 11.05.2017.</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представлен расчет арендной платы на сумму 2 061 549,36 руб., в том числе амортизация - 1 944 857,88 руб., налог УСН - 116 691,47 руб.</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проведен анализ представленных документов на предмет соответствия требованиям п. 27 и п.п. 5 п. 28 Основ ценообразования.</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данного расчета амортизационных отчислений организацией представлены инвентарные карточки учета объектов основных средств, согласно которым здания ТП отнесены к десятой амортизационной группе (СПИ 600 месяцев), кабельные линии – восьмой амортизационной группе (СПИ 300 месяцев), электрооборудование 10-0,4кВ – седьмой  амортизационной группе (СПИ 240 месяцев), электрооборудование 0,4кВ – пятой  амортизационной группе (СПИ 120 месяцев); указанные объекты приняты к учету 01.09.2016.</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Следует отметить, что амортизационные группы в отношении указанных объектов определены арендодателем на основании Классификатора (в редакции, действовавшей до 01.01.2017, поскольку введены в 2016 году), в соответствии с которым были определены следующие амортизационные группы:</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-электрооборудование 0,4кВ - аппаратура электрическая низковольтная (до 1000 В) (выключатели, контакторы, рубильники, реле управления и защиты, пускатели, коммутаторы, усилители магнитные, дроссели управления, панели распределительные, щитки осветительные, устройства катодной защиты) отнесено к пятой амортизационной группе (имущество со сроком полезного использования свыше 7 лет до 10 лет включительно);</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отношении кабельной линии была определена восьмая группа (имущество со сроком полезного использования свыше 20 лет до 25 лет включительно);</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-подстанции трансформаторной комплектной с ОКОФ 143115020 - седьмая группа (имущество со сроком полезного использования свыше 15 лет до 20 лет включительно).</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По результатам анализа представленных материалов департаментом установлено, что расчет амортизационных отчислений выполнен ООО «НГСК» исходя из первоначальной стоимости и СПИ в соответствии с первичными данными бухгалтерского учета арендодателя; СПИ соответствуют максимальным срокам, установленным Классификатором.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Таким образом, департаментом признаны расходы по арендной плате по договору                   № 05-2017/А от 11.05.2017 в размере 2 061 549,36 руб., в том числе расходы на амортизационные отчисления в размере 1 944 857,88 руб., налог УСН - 116 691,47 руб., на том же уровне, поскольку сформированные департаментом расходы, не превышают экономически обоснованный размер, рассчитанный на основании требований п. 27, п.п. 5 п. 28 Основ ценообразования и не превышают установленную указанным договором величину арендной платы. </w:t>
      </w:r>
    </w:p>
    <w:p w:rsidR="004138E2" w:rsidRPr="00B806A7" w:rsidRDefault="004138E2" w:rsidP="004138E2">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Учитывая, что цена по договору аренды № 05-2017/А от 11.05.2017 установлена в меньшем размере относительно расчетной величины амортизации, в этой связи расходы по данному договору признаны экономически обоснованными в размере 2 056 459,44 руб., на том же уровне, и не подлежат пересмотру, поскольку сформированные департаментом расходы, не превышают экономически обоснованный размер, рассчитанный на основании требований п. 27, п.п. 5 п. 28 Основ ценообразования.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5. </w:t>
      </w:r>
      <w:r w:rsidRPr="00B806A7">
        <w:rPr>
          <w:rFonts w:ascii="Times New Roman" w:eastAsia="Times New Roman" w:hAnsi="Times New Roman"/>
          <w:sz w:val="24"/>
          <w:szCs w:val="24"/>
          <w:u w:val="single"/>
          <w:lang w:eastAsia="ru-RU"/>
        </w:rPr>
        <w:t>Договор аренды № 21-2020/А от 16.03.2020</w:t>
      </w:r>
      <w:r w:rsidRPr="00B806A7">
        <w:rPr>
          <w:rFonts w:ascii="Times New Roman" w:eastAsia="Times New Roman" w:hAnsi="Times New Roman"/>
          <w:sz w:val="24"/>
          <w:szCs w:val="24"/>
          <w:lang w:eastAsia="ru-RU"/>
        </w:rPr>
        <w:t xml:space="preserve">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аренды № 21-2020/А от 16.03.2020 в размере 59748 руб., на уровне установленной указанным договором аренды величины арендной платы.</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амортизационных отчислений в отношении арендуемого имущества организацией представлены первичные документы бухгалтерской отчетности (унифицированные формы): акт о приеме-передаче объектов основных средств, инвентарная карточка учета объекта основных средств, с указанием в них первоначальной стоимости объекта в размере 5040000 руб., амортизационной группы - десятой, СПИ – 346 месяцев.</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расчету ООО «НГСК» сумма амортизационных отчислений рассчитана в размере               174797,69 руб. исходя из первоначальной стоимости и СПИ - 346 месяцев                                             (5 040 000/346*12).</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Специалистом департамента при расчете экономического обоснованного размера арендной платы в части амортизационных отчислений в отношении арендуемого имущества также определена 10 амортизационная группа, для которой Классификатором установлен максимальный СПИ 361 месяц на основании требований п. 27 Основ ценообразования                    (167534,63 руб. =5 040 000/361*12).</w:t>
      </w:r>
    </w:p>
    <w:p w:rsidR="00BC1E78"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Таким образом, расчет амортизационных отчислений по указанным объектам выполнен на основании первичных данных бухгалтерского учета с учетом применения максимальных СПИ в соответствии с требованиями, предусмотренными п. 27, п.п. 5 п. 28 Основ ценообразования</w:t>
      </w:r>
      <w:r w:rsidR="00BC1E78" w:rsidRPr="00B806A7">
        <w:rPr>
          <w:rFonts w:ascii="Times New Roman" w:eastAsia="Times New Roman" w:hAnsi="Times New Roman"/>
          <w:sz w:val="24"/>
          <w:szCs w:val="24"/>
          <w:lang w:eastAsia="ru-RU"/>
        </w:rPr>
        <w:t>.</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Учитывая, что цена по договору аренды № 21-2020/А от 16.03.2020 установлена в меньшем размере относительно расчетной величины амортизации, в этой связи расходы по данному договору признаны экономически обоснованными в размере 59748 руб., на том же уровне и не подлежат пересмотру, поскольку сформированные департаментом расходы, не превышают экономически обоснованный размер, рассчитанный на основании требований п. 27, п.п. 5 п. 28 Основ ценообразования. </w:t>
      </w:r>
    </w:p>
    <w:p w:rsidR="00D30533" w:rsidRPr="00B806A7" w:rsidRDefault="00D30533" w:rsidP="00D30533">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lang w:eastAsia="ru-RU"/>
        </w:rPr>
        <w:t xml:space="preserve">6. </w:t>
      </w:r>
      <w:r w:rsidRPr="00B806A7">
        <w:rPr>
          <w:rFonts w:ascii="Times New Roman" w:eastAsia="Times New Roman" w:hAnsi="Times New Roman"/>
          <w:sz w:val="24"/>
          <w:szCs w:val="24"/>
          <w:u w:val="single"/>
          <w:lang w:eastAsia="ru-RU"/>
        </w:rPr>
        <w:t>Договор аренды № 19-2021/А от 01.08.2021</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заявлены расходы по арендной плате по договору аренды № 19-2021/А от 01.08.2021 в размере 315 283,10 руб. на уровне установленной указанным договором аренды величины арендной платы.</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ООО «НГСК» представлен расчет арендной платы на сумму 315 283,10 руб., в том числе амортизация - 300 450,33руб., налог на имущество - 14 832,76 руб.</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Департаментом проведен анализ представленных документов на предмет соответствия требованиям п. 27 и п.п. 5 п. 28 Основ ценообразования.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организацией представлены инвентарные карточки учета объектов основных средств, в которых отражены следующие данные:</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зданию трансформаторной подстанции ТП-4766, кадастровый номер 54:35:074435:561, инвентарный номер БП-000021, первоначальная стоимость в размере                    748 898,99 руб., СПИ - 600 мес., десятая группа, дата постановки на учет 31.05.2021;</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по электрооборудованию РУ-10кВ первоначальная стоимость в размере 4 271 881,44    руб., СПИ – 180 мес., шестая группа, дата постановки на учет 31.05.2021;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кабельной линии 6 кВ, 0,4 кВ от ТП-4766 первоначальная стоимость в размере                 929 431,67 руб., СПИ - 240 мес., седьмая группа, дата постановки на учет 31.05.2021.</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Кроме того, в обоснование первоначальной стоимости по указанным объектам в составе материалов был представлен составленный комиссией ООО «Инженерные сети» Акт № 1 от 01.10.2021 «О разукомплектации основного средства», согласно которому здание трансформаторной подстанции ТП-4766 инвентарный номер БП-000021, с первоначальной стоимостью 5950212,10 руб. было разукомплектовано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Основные средства: электрооборудованию РУ-10кВ и кабельной линии 6 кВ, 0,4 кВ от ТП-4766 неправомерны отнесены собственником к шестой и восьмой амортизационным группам, поскольку амортизационная группа конкретного актива определяется по его наименованию и с учетом информации, указанной в примечании Классификатора.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Классификатору: здание ТП отнесено к десятой группе, максимальный СПИ 361 месяц, оборудование трансформаторных подстанций отнесено к седьмой группе, максимальный СПИ 240 месяцев, кабельная линия 6 кВ, 0,4 кВ отнесена к шестой группе, максимальный СПИ 180 месяцев.</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Учитывая, что СПИ активов и отнесение этих активов к соответствующей амортизационной группе определяется регулирующим органом в соответствии с максимальными СПИ, установленными Классификатором, специалистом департамента при расчете экономического обоснованного размера арендной платы в части амортизационных отчислений в отношении здания ТП определена 10 группа, для которой установлен максимальный СПИ 361 месяц, электрооборудования ТП-4766 определена 7 группа, для которой установлен максимальный СПИ 240 месяцев, по кабельной линии 6 кВ, 0,4 кВ определена 6 группа, для которой установлен максимальный СПИ 180 месяцев.</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Таким образом, специалистом департамента рассчитаны амортизационные отчисления по указанным объектам исходя из первоначальной стоимости, подтвержденной первичными данными бухгалтерского учета, и максимальных СПИ, установленных Классификатором для соответствующей амортизационной группы.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дополнительно запрошены документы бухгалтерского учета, подтверждающие начисление собственником амортизации за 2021-2023 (ведомости амортизации, карточки счетов: 01 «основные средства», 02 «Амортизация основных средств» за указанный период, инвентарные карточки учета объектов основных средств).</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Согласно указанным документам начисление амортизации по вышеперечисленным объектам составило: за 2021 год – 173120,76 руб., за 2022 год - 346241,65 руб., за 2023 год -346241,64 руб. </w:t>
      </w:r>
    </w:p>
    <w:p w:rsidR="00B914AE" w:rsidRPr="00B806A7" w:rsidRDefault="00B914AE"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Поскольку </w:t>
      </w:r>
      <w:r w:rsidR="00D30533" w:rsidRPr="00B806A7">
        <w:rPr>
          <w:rFonts w:ascii="Times New Roman" w:eastAsia="Times New Roman" w:hAnsi="Times New Roman"/>
          <w:sz w:val="24"/>
          <w:szCs w:val="24"/>
          <w:lang w:eastAsia="ru-RU"/>
        </w:rPr>
        <w:t xml:space="preserve">расчет специалистом департамента выполнен не в соответствии с амортизационными группами и СПИ, установленными собственником в первичных данных бухгалтерского учета, </w:t>
      </w:r>
      <w:r w:rsidRPr="00B806A7">
        <w:rPr>
          <w:rFonts w:ascii="Times New Roman" w:eastAsia="Times New Roman" w:hAnsi="Times New Roman"/>
          <w:sz w:val="24"/>
          <w:szCs w:val="24"/>
          <w:lang w:eastAsia="ru-RU"/>
        </w:rPr>
        <w:t xml:space="preserve">департаментом </w:t>
      </w:r>
      <w:r w:rsidR="00D30533" w:rsidRPr="00B806A7">
        <w:rPr>
          <w:rFonts w:ascii="Times New Roman" w:eastAsia="Times New Roman" w:hAnsi="Times New Roman"/>
          <w:sz w:val="24"/>
          <w:szCs w:val="24"/>
          <w:lang w:eastAsia="ru-RU"/>
        </w:rPr>
        <w:t xml:space="preserve"> пересмотрены расходы </w:t>
      </w:r>
      <w:r w:rsidRPr="00B806A7">
        <w:rPr>
          <w:rFonts w:ascii="Times New Roman" w:eastAsia="Times New Roman" w:hAnsi="Times New Roman"/>
          <w:sz w:val="24"/>
          <w:szCs w:val="24"/>
          <w:lang w:eastAsia="ru-RU"/>
        </w:rPr>
        <w:t xml:space="preserve"> по договору в размере 361 701,43 руб., в том числе </w:t>
      </w:r>
      <w:r w:rsidR="00D30533" w:rsidRPr="00B806A7">
        <w:rPr>
          <w:rFonts w:ascii="Times New Roman" w:eastAsia="Times New Roman" w:hAnsi="Times New Roman"/>
          <w:sz w:val="24"/>
          <w:szCs w:val="24"/>
          <w:lang w:eastAsia="ru-RU"/>
        </w:rPr>
        <w:t>на амортизационные отчисления в размере</w:t>
      </w:r>
      <w:r w:rsidR="00BC1E78" w:rsidRPr="00B806A7">
        <w:rPr>
          <w:rFonts w:ascii="Times New Roman" w:eastAsia="Times New Roman" w:hAnsi="Times New Roman"/>
          <w:sz w:val="24"/>
          <w:szCs w:val="24"/>
          <w:lang w:eastAsia="ru-RU"/>
        </w:rPr>
        <w:t xml:space="preserve"> 346 241,7 </w:t>
      </w:r>
      <w:r w:rsidR="00D30533" w:rsidRPr="00B806A7">
        <w:rPr>
          <w:rFonts w:ascii="Times New Roman" w:eastAsia="Times New Roman" w:hAnsi="Times New Roman"/>
          <w:sz w:val="24"/>
          <w:szCs w:val="24"/>
          <w:lang w:eastAsia="ru-RU"/>
        </w:rPr>
        <w:t>руб. исходя</w:t>
      </w:r>
      <w:r w:rsidR="00BC1E78" w:rsidRPr="00B806A7">
        <w:rPr>
          <w:rFonts w:ascii="Times New Roman" w:eastAsia="Times New Roman" w:hAnsi="Times New Roman"/>
          <w:sz w:val="24"/>
          <w:szCs w:val="24"/>
          <w:lang w:eastAsia="ru-RU"/>
        </w:rPr>
        <w:t xml:space="preserve"> из данных бухгалтерского учета</w:t>
      </w:r>
      <w:r w:rsidRPr="00B806A7">
        <w:rPr>
          <w:rFonts w:ascii="Times New Roman" w:eastAsia="Times New Roman" w:hAnsi="Times New Roman"/>
          <w:sz w:val="24"/>
          <w:szCs w:val="24"/>
          <w:lang w:eastAsia="ru-RU"/>
        </w:rPr>
        <w:t xml:space="preserve"> (максимальных СПИ, установленных для амортизационных групп), налог на имущество 15 459,77 руб.</w:t>
      </w:r>
    </w:p>
    <w:p w:rsidR="00B914AE" w:rsidRPr="00B806A7" w:rsidRDefault="00B914AE" w:rsidP="00B914AE">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Учитывая, что цена по договору аренды № 19-2021/А от 01.08.2021 установлена в меньшем размере относительно расчетной величины амортизации, в этой связи расходы по данному договору признаны экономически обоснованными в размере </w:t>
      </w:r>
      <w:r w:rsidR="001C0F8D" w:rsidRPr="00B806A7">
        <w:rPr>
          <w:rFonts w:ascii="Times New Roman" w:eastAsia="Times New Roman" w:hAnsi="Times New Roman"/>
          <w:sz w:val="24"/>
          <w:szCs w:val="24"/>
          <w:lang w:eastAsia="ru-RU"/>
        </w:rPr>
        <w:t xml:space="preserve">315 283,10 </w:t>
      </w:r>
      <w:r w:rsidRPr="00B806A7">
        <w:rPr>
          <w:rFonts w:ascii="Times New Roman" w:eastAsia="Times New Roman" w:hAnsi="Times New Roman"/>
          <w:sz w:val="24"/>
          <w:szCs w:val="24"/>
          <w:lang w:eastAsia="ru-RU"/>
        </w:rPr>
        <w:t xml:space="preserve"> руб., на том же уровне и не подлежат пересмотру, поскольку сформированные департаментом расходы, не превышают экономически обоснованный размер, рассчитанный на основании требований п. 27, п.п. 5 п. 28 Основ ценообразования.</w:t>
      </w:r>
    </w:p>
    <w:p w:rsidR="001C0F8D" w:rsidRPr="00B806A7" w:rsidRDefault="001C0F8D" w:rsidP="00B914AE">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Аналогичным образом, расходы по договору на 2023 (315 830,77 руб</w:t>
      </w:r>
      <w:r w:rsidR="00D509ED" w:rsidRPr="00B806A7">
        <w:rPr>
          <w:rFonts w:ascii="Times New Roman" w:eastAsia="Times New Roman" w:hAnsi="Times New Roman"/>
          <w:sz w:val="24"/>
          <w:szCs w:val="24"/>
          <w:lang w:eastAsia="ru-RU"/>
        </w:rPr>
        <w:t>.</w:t>
      </w:r>
      <w:r w:rsidRPr="00B806A7">
        <w:rPr>
          <w:rFonts w:ascii="Times New Roman" w:eastAsia="Times New Roman" w:hAnsi="Times New Roman"/>
          <w:sz w:val="24"/>
          <w:szCs w:val="24"/>
          <w:lang w:eastAsia="ru-RU"/>
        </w:rPr>
        <w:t>) и 2022                       (316 378,44 руб.) меньше экономического обоснованного размера, соответственно расходы, учтенные в тарифно-балансовом решении на 2023 и 2022</w:t>
      </w:r>
      <w:r w:rsidR="00D509ED" w:rsidRPr="00B806A7">
        <w:rPr>
          <w:rFonts w:ascii="Times New Roman" w:eastAsia="Times New Roman" w:hAnsi="Times New Roman"/>
          <w:sz w:val="24"/>
          <w:szCs w:val="24"/>
          <w:lang w:eastAsia="ru-RU"/>
        </w:rPr>
        <w:t xml:space="preserve"> пересмотру</w:t>
      </w:r>
      <w:r w:rsidRPr="00B806A7">
        <w:rPr>
          <w:rFonts w:ascii="Times New Roman" w:eastAsia="Times New Roman" w:hAnsi="Times New Roman"/>
          <w:sz w:val="24"/>
          <w:szCs w:val="24"/>
          <w:lang w:eastAsia="ru-RU"/>
        </w:rPr>
        <w:t xml:space="preserve"> </w:t>
      </w:r>
      <w:r w:rsidR="00D509ED" w:rsidRPr="00B806A7">
        <w:rPr>
          <w:rFonts w:ascii="Times New Roman" w:eastAsia="Times New Roman" w:hAnsi="Times New Roman"/>
          <w:sz w:val="24"/>
          <w:szCs w:val="24"/>
          <w:lang w:eastAsia="ru-RU"/>
        </w:rPr>
        <w:t>не подлежат.</w:t>
      </w:r>
      <w:r w:rsidRPr="00B806A7">
        <w:rPr>
          <w:rFonts w:ascii="Times New Roman" w:eastAsia="Times New Roman" w:hAnsi="Times New Roman"/>
          <w:sz w:val="24"/>
          <w:szCs w:val="24"/>
          <w:lang w:eastAsia="ru-RU"/>
        </w:rPr>
        <w:t xml:space="preserve">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7. Договор аренды № 14-08-23А от 14.08.2023</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ООО «НГСК» заявлены расходы по арендной плате в размере 2 002 232,56 тыс. руб., в том числе амортизация  2 000 000 руб., земельный налог -  2 232,56 руб.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учтены при корректировке НВВ ООО «НГСК» на 2024 год в размере            2 002 232,56 по расчету организации.</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расходов организация представила:</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-договор аренды № 14-08-23А от 14.08.2023, заключенный ОО «НГСК» с ООО «СВС-ЭНЕРГО» (далее – Арендодатель);</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-акты о приеме-передаче объектов основных средств инвентарные карточки учета основных средств (унифицированные формы) по трансформаторной подстанции ТП-4196 10/0,4; трансформаторной подстанции ТП-4197 10/0,4);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-справку о балансовой стоимости активов организации от 20.04.2023;</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-выписки из ЕГРН.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Указанные документы направлялись письмами департамента в ФАС России:</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-от 22.05.2024 №768-08/33 и от 29.05.2024 № 792-08/33 во исполнение требования о предоставления документов (информации) от 20.05.2024 № 31/42770/24 (договор и выписки из ЕГРП в папке ООО НГСК\Заявления\НГСК на 2024 г Заяв и материалы\материалы от 10.10.23 коррек 2024);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-от 13.08.2024 № 1156-08/33 (от 13.08.2024 № 134477-М/24) (инвентарные карточки и справка о балансовой стоимости в папке ООО НГСК\ Возражения НГСК\Доп. материалы по п. 3.2.1 Аренда объектов ЭСХ).</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представленных первичных документах бухгалтерского учета отражена следующая информация: инвентарные номера, СПИ -240 месяцев, седьмая амортизационная группа, первоначальная стоимость.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Кроме того, присвоенная Арендодателем амортизационная группа в отношении указанных объектов подтверждается справкой о балансовой стоимости активов организации от 20.04.2023, подписанной руководителем и главным бухгалтером организации.</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Расчет расходов по налогу на землю предоставлен ООО «НГСК» в составе обосновывающих документов к заявлению на 2024 год. В расчете отражены земельные участки, по которым Арендодателем уплачивается налог на землю, с указанием площади и населенного пункта, кадастрового номера, кадастровой стоимости и налоговой ставки в размере 1,5% (прочие земельные участки). Величина налоговых ставок учтена в соответствии с Положением о земельном налоге на территории города Новосибирска, утвержденным решением городского Совета депутатов от 25 октября 2005  № 105.</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Применение указанных ставок подтверждено  Сообщением об исчисленных налоговым органом суммах транспортного налога, налога на имущество организаций, земельного налога от 20.03.2024 № 4193506</w:t>
      </w:r>
      <w:r w:rsidR="00D509ED" w:rsidRPr="00B806A7">
        <w:rPr>
          <w:rFonts w:ascii="Times New Roman" w:eastAsia="Times New Roman" w:hAnsi="Times New Roman"/>
          <w:sz w:val="24"/>
          <w:szCs w:val="24"/>
          <w:lang w:eastAsia="ru-RU"/>
        </w:rPr>
        <w:t>,</w:t>
      </w:r>
      <w:r w:rsidRPr="00B806A7">
        <w:rPr>
          <w:rFonts w:ascii="Times New Roman" w:eastAsia="Times New Roman" w:hAnsi="Times New Roman"/>
          <w:sz w:val="24"/>
          <w:szCs w:val="24"/>
          <w:lang w:eastAsia="ru-RU"/>
        </w:rPr>
        <w:t xml:space="preserve"> представленным ООО «НГСК» дополнительно в составе обосновывающих материалов.</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Кадастровая стоимость земельных участков подтверждается сведениями из Фонда данных государственной кадастровой оценки Федеральной службы государственной регистрации, кадастра и картографии.</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Специалистом департамента рассчитаны расходы по арендной плате по договору аренды № 14-08-23А от 14.08.2023 в размере 2 002 232,56 руб., в том числе:</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-амортизационные отчисления - 2 000 000 руб., сформированные исходя из первоначальной стоимости и СПИ – 240 мес., что соответствует первичным данным бухгалтерского учета и требованиям, предусмотренным п. 27 Основ ценообразования;</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-расходы по налогу на землю - 2 232,56 руб. в соответствии с расчетом организации и подтверждается вышеуказанными документами.</w:t>
      </w:r>
    </w:p>
    <w:p w:rsidR="00D30533" w:rsidRPr="00B806A7" w:rsidRDefault="00D30533" w:rsidP="00D3053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Таким образом, расходы по данному договору признаны экономически обоснованными в размере 2 002 232,56 руб., на том же уровне, поскольку сформированные департаментом расходы не превышают экономически обоснованный размер, рассчитанный на основании требований п. 27, п.п. 5 п. 28 Основ ценообразования.  </w:t>
      </w:r>
    </w:p>
    <w:p w:rsidR="00D30533" w:rsidRPr="00B806A7" w:rsidRDefault="00D30533" w:rsidP="00D30533">
      <w:pPr>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8. Договор аренды № 109-2020 А от 28.09.2020</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Расходы по арендной плате по договору аренды № 109-2020 А от 28.09.2020, заключенному с ООО «СЗ «Академ-Развитие» заявлены были организацией </w:t>
      </w:r>
      <w:r w:rsidRPr="00B806A7">
        <w:rPr>
          <w:rFonts w:ascii="Times New Roman" w:eastAsia="Times New Roman" w:hAnsi="Times New Roman"/>
          <w:sz w:val="24"/>
          <w:szCs w:val="24"/>
          <w:u w:val="single"/>
          <w:lang w:eastAsia="ru-RU"/>
        </w:rPr>
        <w:t>на 2024 год</w:t>
      </w:r>
      <w:r w:rsidRPr="00B806A7">
        <w:rPr>
          <w:rFonts w:ascii="Times New Roman" w:eastAsia="Times New Roman" w:hAnsi="Times New Roman"/>
          <w:sz w:val="24"/>
          <w:szCs w:val="24"/>
          <w:lang w:eastAsia="ru-RU"/>
        </w:rPr>
        <w:t xml:space="preserve"> в размере 542 317,99 руб., рассчитанные в отношении арендуемых объектов электросетевого хозяйства, исходя из размера амортизационных в размере 464412,43 руб. и налога на имущество в размере 77 905,55 руб. по объекту «Здание трансформаторной подстанции ТП 9К Адрес: Новосибирская обл., п. Ложок, ЖК Да Винчи, ул. Солнечная, 29».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указанных расходов организацией представлены следующие документы: договор аренды № 109-2020 А от 28.09.2020, расчет арендной платы по указанному договору, дополнительное соглашение № 1 от 01.01.2022 к договору аренды № 109-2020 А от 28.09.2020, налоговая декларация арендодателя за 2022 год, а также первичные документы бухгалтерского учета (унифицированная форма ОС-1).</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дополнительно запрошены документы бухгалтерского учета, подтверждающие начисление собственником амортизации за 2021-2023 (ведомости амортизации, карточки счетов: 01 «основные средства», 02 «Амортизация основных средств» за указанный период, инвентарные карточки основных средств).</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Кроме того, организацией дополнительно представлены налоговые декларации по налогу на имущество за 2021 год и 2024 год, подтверждающие уплату налога за имущество по объекту «Здание трансформаторной подстанции ТП 9К Адрес: Новосибирская обл., п. Ложок, ЖК Да Винчи, ул. Солнечная, 29».</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Согласно актам о приеме-передаче объектов основных средств (унифицированная форма ОС-1) отражены следующие данные: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оборудованию ТП-9К - восьмая группа, СПИ 240 месяцев;</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зданию ТП 9К - десятая группа, СПИ 360 месяцев.</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Учитывая, что собственником в отношении указанных объектов установлены СПИ, которые не соответствуют максимальным СПИ, установленным Классификатором для седьмой и десятой группы соответственно, расходы на арендную плату по договору аренды, заключенному с СЗ «Академ-Развитие» № 109-2020/А от 28.09.2020, пересмотрены департаментом в размере </w:t>
      </w:r>
      <w:r w:rsidR="006C1B33" w:rsidRPr="00B806A7">
        <w:rPr>
          <w:rFonts w:ascii="Times New Roman" w:eastAsia="Times New Roman" w:hAnsi="Times New Roman"/>
          <w:sz w:val="24"/>
          <w:szCs w:val="24"/>
          <w:lang w:eastAsia="ru-RU"/>
        </w:rPr>
        <w:t>295 933,17 руб., (</w:t>
      </w:r>
      <w:r w:rsidRPr="00B806A7">
        <w:rPr>
          <w:rFonts w:ascii="Times New Roman" w:eastAsia="Times New Roman" w:hAnsi="Times New Roman"/>
          <w:sz w:val="24"/>
          <w:szCs w:val="24"/>
          <w:lang w:eastAsia="ru-RU"/>
        </w:rPr>
        <w:t>амортизационные отчисления в размере 295 933,17 руб.</w:t>
      </w:r>
      <w:r w:rsidR="006C1B33" w:rsidRPr="00B806A7">
        <w:rPr>
          <w:rFonts w:ascii="Times New Roman" w:eastAsia="Times New Roman" w:hAnsi="Times New Roman"/>
          <w:sz w:val="24"/>
          <w:szCs w:val="24"/>
          <w:lang w:eastAsia="ru-RU"/>
        </w:rPr>
        <w:t>)</w:t>
      </w:r>
      <w:r w:rsidRPr="00B806A7">
        <w:rPr>
          <w:rFonts w:ascii="Times New Roman" w:eastAsia="Times New Roman" w:hAnsi="Times New Roman"/>
          <w:sz w:val="24"/>
          <w:szCs w:val="24"/>
          <w:lang w:eastAsia="ru-RU"/>
        </w:rPr>
        <w:t>, рассчитанные исходя из первоначальной стоимости и максимальных СПИ</w:t>
      </w:r>
      <w:r w:rsidR="006C1B33" w:rsidRPr="00B806A7">
        <w:rPr>
          <w:rFonts w:ascii="Times New Roman" w:eastAsia="Times New Roman" w:hAnsi="Times New Roman"/>
          <w:sz w:val="24"/>
          <w:szCs w:val="24"/>
          <w:lang w:eastAsia="ru-RU"/>
        </w:rPr>
        <w:t>, установленных Классификатором, при этом ра</w:t>
      </w:r>
      <w:r w:rsidRPr="00B806A7">
        <w:rPr>
          <w:rFonts w:ascii="Times New Roman" w:eastAsia="Times New Roman" w:hAnsi="Times New Roman"/>
          <w:sz w:val="24"/>
          <w:szCs w:val="24"/>
          <w:lang w:eastAsia="ru-RU"/>
        </w:rPr>
        <w:t xml:space="preserve">сходы по налогу на имущество в размере </w:t>
      </w:r>
      <w:r w:rsidR="006C1B33" w:rsidRPr="00B806A7">
        <w:rPr>
          <w:rFonts w:ascii="Times New Roman" w:eastAsia="Times New Roman" w:hAnsi="Times New Roman"/>
          <w:sz w:val="24"/>
          <w:szCs w:val="24"/>
          <w:lang w:eastAsia="ru-RU"/>
        </w:rPr>
        <w:t xml:space="preserve">                  </w:t>
      </w:r>
      <w:r w:rsidRPr="00B806A7">
        <w:rPr>
          <w:rFonts w:ascii="Times New Roman" w:eastAsia="Times New Roman" w:hAnsi="Times New Roman"/>
          <w:sz w:val="24"/>
          <w:szCs w:val="24"/>
          <w:lang w:eastAsia="ru-RU"/>
        </w:rPr>
        <w:t xml:space="preserve">77 905,55 руб., рассчитанные исходя из среднегодовой остаточной стоимости и </w:t>
      </w:r>
      <w:r w:rsidR="006C1B33" w:rsidRPr="00B806A7">
        <w:rPr>
          <w:rFonts w:ascii="Times New Roman" w:eastAsia="Times New Roman" w:hAnsi="Times New Roman"/>
          <w:sz w:val="24"/>
          <w:szCs w:val="24"/>
          <w:lang w:eastAsia="ru-RU"/>
        </w:rPr>
        <w:t>налоговой ставки в размере 2,2% исключены в полном объеме.</w:t>
      </w:r>
      <w:r w:rsidRPr="00B806A7">
        <w:rPr>
          <w:rFonts w:ascii="Times New Roman" w:eastAsia="Times New Roman" w:hAnsi="Times New Roman"/>
          <w:sz w:val="24"/>
          <w:szCs w:val="24"/>
          <w:lang w:eastAsia="ru-RU"/>
        </w:rPr>
        <w:t xml:space="preserve"> </w:t>
      </w:r>
    </w:p>
    <w:p w:rsidR="00D30533" w:rsidRPr="00B806A7" w:rsidRDefault="00D30533" w:rsidP="00D30533">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результате, сокращение относительно установленной величины на 2024 год в размере                    (542 317,99 руб.) составит</w:t>
      </w:r>
      <w:r w:rsidR="002D4E98" w:rsidRPr="00B806A7">
        <w:rPr>
          <w:rFonts w:ascii="Times New Roman" w:eastAsia="Times New Roman" w:hAnsi="Times New Roman"/>
          <w:sz w:val="24"/>
          <w:szCs w:val="24"/>
          <w:lang w:eastAsia="ru-RU"/>
        </w:rPr>
        <w:t xml:space="preserve"> </w:t>
      </w:r>
      <w:r w:rsidR="006C1B33" w:rsidRPr="00B806A7">
        <w:rPr>
          <w:rFonts w:ascii="Times New Roman" w:eastAsia="Times New Roman" w:hAnsi="Times New Roman"/>
          <w:sz w:val="24"/>
          <w:szCs w:val="24"/>
          <w:lang w:eastAsia="ru-RU"/>
        </w:rPr>
        <w:t>246 384,82</w:t>
      </w:r>
      <w:r w:rsidRPr="00B806A7">
        <w:rPr>
          <w:rFonts w:ascii="Times New Roman" w:eastAsia="Times New Roman" w:hAnsi="Times New Roman"/>
          <w:sz w:val="24"/>
          <w:szCs w:val="24"/>
          <w:lang w:eastAsia="ru-RU"/>
        </w:rPr>
        <w:t xml:space="preserve"> руб. </w:t>
      </w:r>
    </w:p>
    <w:p w:rsidR="006C1B33" w:rsidRPr="00B806A7" w:rsidRDefault="00D30533" w:rsidP="006C1B33">
      <w:pPr>
        <w:tabs>
          <w:tab w:val="left" w:pos="708"/>
          <w:tab w:val="center" w:pos="4153"/>
          <w:tab w:val="right" w:pos="8306"/>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Аналогичным образом пересмотрены расходы по указанному договору в части амортизационных отчислений на 2023 год в размере 295 933,17  руб., сокращение от тарифно-балансового решения в составило </w:t>
      </w:r>
      <w:r w:rsidR="006C1B33" w:rsidRPr="00B806A7">
        <w:rPr>
          <w:rFonts w:ascii="Times New Roman" w:eastAsia="Times New Roman" w:hAnsi="Times New Roman"/>
          <w:sz w:val="24"/>
          <w:szCs w:val="24"/>
          <w:lang w:eastAsia="ru-RU"/>
        </w:rPr>
        <w:t xml:space="preserve">-168 479,26 </w:t>
      </w:r>
      <w:r w:rsidRPr="00B806A7">
        <w:rPr>
          <w:rFonts w:ascii="Times New Roman" w:eastAsia="Times New Roman" w:hAnsi="Times New Roman"/>
          <w:sz w:val="24"/>
          <w:szCs w:val="24"/>
          <w:lang w:eastAsia="ru-RU"/>
        </w:rPr>
        <w:t>руб., а также пересмотрены плановые расходы по корректировке НВВ на 2022 год -</w:t>
      </w:r>
      <w:r w:rsidR="006C1B33" w:rsidRPr="00B806A7">
        <w:rPr>
          <w:rFonts w:ascii="Times New Roman" w:eastAsia="Times New Roman" w:hAnsi="Times New Roman"/>
          <w:sz w:val="24"/>
          <w:szCs w:val="24"/>
          <w:lang w:eastAsia="ru-RU"/>
        </w:rPr>
        <w:t xml:space="preserve">295 933,17 </w:t>
      </w:r>
      <w:r w:rsidRPr="00B806A7">
        <w:rPr>
          <w:rFonts w:ascii="Times New Roman" w:eastAsia="Times New Roman" w:hAnsi="Times New Roman"/>
          <w:sz w:val="24"/>
          <w:szCs w:val="24"/>
          <w:lang w:eastAsia="ru-RU"/>
        </w:rPr>
        <w:t>руб</w:t>
      </w:r>
      <w:r w:rsidR="006C1B33" w:rsidRPr="00B806A7">
        <w:rPr>
          <w:rFonts w:ascii="Times New Roman" w:eastAsia="Times New Roman" w:hAnsi="Times New Roman"/>
          <w:sz w:val="24"/>
          <w:szCs w:val="24"/>
          <w:lang w:eastAsia="ru-RU"/>
        </w:rPr>
        <w:t>. (амортизация -295 933,17 руб.</w:t>
      </w:r>
      <w:r w:rsidRPr="00B806A7">
        <w:rPr>
          <w:rFonts w:ascii="Times New Roman" w:eastAsia="Times New Roman" w:hAnsi="Times New Roman"/>
          <w:sz w:val="24"/>
          <w:szCs w:val="24"/>
          <w:lang w:eastAsia="ru-RU"/>
        </w:rPr>
        <w:t xml:space="preserve">), сокращение от тарифно-балансового решения в ценах 2022 года составило – </w:t>
      </w:r>
      <w:r w:rsidR="006C1B33" w:rsidRPr="00B806A7">
        <w:rPr>
          <w:rFonts w:ascii="Times New Roman" w:eastAsia="Times New Roman" w:hAnsi="Times New Roman"/>
          <w:sz w:val="24"/>
          <w:szCs w:val="24"/>
          <w:lang w:eastAsia="ru-RU"/>
        </w:rPr>
        <w:t>168 479,26 руб.</w:t>
      </w:r>
    </w:p>
    <w:p w:rsidR="00007218" w:rsidRPr="00B806A7" w:rsidRDefault="00007218" w:rsidP="006C1B33">
      <w:pPr>
        <w:tabs>
          <w:tab w:val="left" w:pos="708"/>
          <w:tab w:val="center" w:pos="4153"/>
          <w:tab w:val="right" w:pos="8306"/>
        </w:tabs>
        <w:spacing w:after="0" w:line="240" w:lineRule="auto"/>
        <w:ind w:firstLine="709"/>
        <w:jc w:val="both"/>
        <w:rPr>
          <w:rFonts w:ascii="Cambria" w:eastAsia="Times New Roman" w:hAnsi="Cambria"/>
          <w:b/>
          <w:bCs/>
          <w:kern w:val="28"/>
          <w:sz w:val="24"/>
          <w:szCs w:val="24"/>
          <w:lang w:eastAsia="ru-RU"/>
        </w:rPr>
      </w:pPr>
    </w:p>
    <w:p w:rsidR="00600CAF" w:rsidRPr="00B806A7" w:rsidRDefault="00007218" w:rsidP="006C1B33">
      <w:pPr>
        <w:tabs>
          <w:tab w:val="left" w:pos="708"/>
          <w:tab w:val="center" w:pos="4153"/>
          <w:tab w:val="right" w:pos="8306"/>
        </w:tabs>
        <w:spacing w:after="0" w:line="240" w:lineRule="auto"/>
        <w:ind w:firstLine="709"/>
        <w:jc w:val="both"/>
        <w:rPr>
          <w:rFonts w:ascii="Times New Roman" w:eastAsia="Times New Roman" w:hAnsi="Times New Roman"/>
          <w:bCs/>
          <w:kern w:val="28"/>
          <w:sz w:val="24"/>
          <w:szCs w:val="24"/>
          <w:lang w:eastAsia="ru-RU"/>
        </w:rPr>
      </w:pPr>
      <w:r w:rsidRPr="00B806A7">
        <w:rPr>
          <w:rFonts w:ascii="Times New Roman" w:eastAsia="Times New Roman" w:hAnsi="Times New Roman"/>
          <w:bCs/>
          <w:kern w:val="28"/>
          <w:sz w:val="24"/>
          <w:szCs w:val="24"/>
          <w:lang w:eastAsia="ru-RU"/>
        </w:rPr>
        <w:t xml:space="preserve">Кроме того, департаментом </w:t>
      </w:r>
      <w:r w:rsidR="00600CAF" w:rsidRPr="00B806A7">
        <w:rPr>
          <w:rFonts w:ascii="Times New Roman" w:eastAsia="Times New Roman" w:hAnsi="Times New Roman"/>
          <w:bCs/>
          <w:kern w:val="28"/>
          <w:sz w:val="24"/>
          <w:szCs w:val="24"/>
          <w:lang w:eastAsia="ru-RU"/>
        </w:rPr>
        <w:t xml:space="preserve">при оценке анализа </w:t>
      </w:r>
      <w:r w:rsidR="00E30FE8" w:rsidRPr="00B806A7">
        <w:rPr>
          <w:rFonts w:ascii="Times New Roman" w:eastAsia="Times New Roman" w:hAnsi="Times New Roman"/>
          <w:bCs/>
          <w:kern w:val="28"/>
          <w:sz w:val="24"/>
          <w:szCs w:val="24"/>
          <w:lang w:eastAsia="ru-RU"/>
        </w:rPr>
        <w:t xml:space="preserve">учтенных департаментом расходов на арендную плату объектов электросетевого хозяйства на 2024 год </w:t>
      </w:r>
      <w:r w:rsidR="00600CAF" w:rsidRPr="00B806A7">
        <w:rPr>
          <w:rFonts w:ascii="Times New Roman" w:eastAsia="Times New Roman" w:hAnsi="Times New Roman"/>
          <w:bCs/>
          <w:kern w:val="28"/>
          <w:sz w:val="24"/>
          <w:szCs w:val="24"/>
          <w:lang w:eastAsia="ru-RU"/>
        </w:rPr>
        <w:t>на соответствие требованиям п.27</w:t>
      </w:r>
      <w:r w:rsidR="00E30FE8" w:rsidRPr="00B806A7">
        <w:rPr>
          <w:rFonts w:ascii="Times New Roman" w:eastAsia="Times New Roman" w:hAnsi="Times New Roman"/>
          <w:bCs/>
          <w:kern w:val="28"/>
          <w:sz w:val="24"/>
          <w:szCs w:val="24"/>
          <w:lang w:eastAsia="ru-RU"/>
        </w:rPr>
        <w:t>, п.п. 28</w:t>
      </w:r>
      <w:r w:rsidR="00600CAF" w:rsidRPr="00B806A7">
        <w:rPr>
          <w:rFonts w:ascii="Times New Roman" w:eastAsia="Times New Roman" w:hAnsi="Times New Roman"/>
          <w:bCs/>
          <w:kern w:val="28"/>
          <w:sz w:val="24"/>
          <w:szCs w:val="24"/>
          <w:lang w:eastAsia="ru-RU"/>
        </w:rPr>
        <w:t xml:space="preserve"> Основ ценообразования </w:t>
      </w:r>
      <w:r w:rsidR="00E30FE8" w:rsidRPr="00B806A7">
        <w:rPr>
          <w:rFonts w:ascii="Times New Roman" w:eastAsia="Times New Roman" w:hAnsi="Times New Roman"/>
          <w:bCs/>
          <w:kern w:val="28"/>
          <w:sz w:val="24"/>
          <w:szCs w:val="24"/>
          <w:lang w:eastAsia="ru-RU"/>
        </w:rPr>
        <w:t xml:space="preserve">по остальным договорам установлено не соответствие сформированных расходов данным бухгалтерского учета по договору аренды № 270-А от 31.12.2020 на 2024 год, поскольку арендодателем были представлены недостоверные данные бухгалтерского учета.  </w:t>
      </w:r>
    </w:p>
    <w:p w:rsidR="00E30FE8" w:rsidRPr="00B806A7" w:rsidRDefault="00E30FE8" w:rsidP="006C1B33">
      <w:pPr>
        <w:tabs>
          <w:tab w:val="left" w:pos="708"/>
          <w:tab w:val="center" w:pos="4153"/>
          <w:tab w:val="right" w:pos="8306"/>
        </w:tabs>
        <w:spacing w:after="0" w:line="240" w:lineRule="auto"/>
        <w:ind w:firstLine="709"/>
        <w:jc w:val="both"/>
        <w:rPr>
          <w:rFonts w:ascii="Times New Roman" w:eastAsia="Times New Roman" w:hAnsi="Times New Roman"/>
          <w:bCs/>
          <w:kern w:val="28"/>
          <w:sz w:val="24"/>
          <w:szCs w:val="24"/>
          <w:lang w:eastAsia="ru-RU"/>
        </w:rPr>
      </w:pPr>
      <w:r w:rsidRPr="00B806A7">
        <w:rPr>
          <w:rFonts w:ascii="Times New Roman" w:eastAsia="Times New Roman" w:hAnsi="Times New Roman"/>
          <w:bCs/>
          <w:kern w:val="28"/>
          <w:sz w:val="24"/>
          <w:szCs w:val="24"/>
          <w:lang w:eastAsia="ru-RU"/>
        </w:rPr>
        <w:t>В это</w:t>
      </w:r>
      <w:r w:rsidR="009A24E1" w:rsidRPr="00B806A7">
        <w:rPr>
          <w:rFonts w:ascii="Times New Roman" w:eastAsia="Times New Roman" w:hAnsi="Times New Roman"/>
          <w:bCs/>
          <w:kern w:val="28"/>
          <w:sz w:val="24"/>
          <w:szCs w:val="24"/>
          <w:lang w:eastAsia="ru-RU"/>
        </w:rPr>
        <w:t>й</w:t>
      </w:r>
      <w:r w:rsidRPr="00B806A7">
        <w:rPr>
          <w:rFonts w:ascii="Times New Roman" w:eastAsia="Times New Roman" w:hAnsi="Times New Roman"/>
          <w:bCs/>
          <w:kern w:val="28"/>
          <w:sz w:val="24"/>
          <w:szCs w:val="24"/>
          <w:lang w:eastAsia="ru-RU"/>
        </w:rPr>
        <w:t xml:space="preserve"> связи департаментом сформированы расходы по указанному договору следующим образом:</w:t>
      </w:r>
    </w:p>
    <w:p w:rsidR="00E30FE8" w:rsidRPr="00B806A7" w:rsidRDefault="00E30FE8" w:rsidP="006C1B33">
      <w:pPr>
        <w:tabs>
          <w:tab w:val="left" w:pos="708"/>
          <w:tab w:val="center" w:pos="4153"/>
          <w:tab w:val="right" w:pos="8306"/>
        </w:tabs>
        <w:spacing w:after="0" w:line="240" w:lineRule="auto"/>
        <w:ind w:firstLine="709"/>
        <w:jc w:val="both"/>
        <w:rPr>
          <w:rFonts w:ascii="Times New Roman" w:eastAsia="Times New Roman" w:hAnsi="Times New Roman"/>
          <w:bCs/>
          <w:kern w:val="28"/>
          <w:sz w:val="24"/>
          <w:szCs w:val="24"/>
          <w:lang w:eastAsia="ru-RU"/>
        </w:rPr>
      </w:pPr>
      <w:r w:rsidRPr="00B806A7">
        <w:rPr>
          <w:rFonts w:ascii="Times New Roman" w:eastAsia="Times New Roman" w:hAnsi="Times New Roman"/>
          <w:bCs/>
          <w:kern w:val="28"/>
          <w:sz w:val="24"/>
          <w:szCs w:val="24"/>
          <w:lang w:eastAsia="ru-RU"/>
        </w:rPr>
        <w:t>На 2024 год в размере 4 965,40 руб. только в части налога на имущество, поскольку по объектам пересмотрен СПИ, объект должен быть самортизирован полностью в 2023 году (налог на имущество - 4 965,40 руб.).</w:t>
      </w:r>
    </w:p>
    <w:p w:rsidR="00E30FE8" w:rsidRPr="00B806A7" w:rsidRDefault="00E30FE8" w:rsidP="006C1B33">
      <w:pPr>
        <w:tabs>
          <w:tab w:val="left" w:pos="708"/>
          <w:tab w:val="center" w:pos="4153"/>
          <w:tab w:val="right" w:pos="8306"/>
        </w:tabs>
        <w:spacing w:after="0" w:line="240" w:lineRule="auto"/>
        <w:ind w:firstLine="709"/>
        <w:jc w:val="both"/>
        <w:rPr>
          <w:rFonts w:ascii="Times New Roman" w:eastAsia="Times New Roman" w:hAnsi="Times New Roman"/>
          <w:bCs/>
          <w:kern w:val="28"/>
          <w:sz w:val="24"/>
          <w:szCs w:val="24"/>
          <w:lang w:eastAsia="ru-RU"/>
        </w:rPr>
      </w:pPr>
      <w:r w:rsidRPr="00B806A7">
        <w:rPr>
          <w:rFonts w:ascii="Times New Roman" w:eastAsia="Times New Roman" w:hAnsi="Times New Roman"/>
          <w:bCs/>
          <w:kern w:val="28"/>
          <w:sz w:val="24"/>
          <w:szCs w:val="24"/>
          <w:lang w:eastAsia="ru-RU"/>
        </w:rPr>
        <w:t>На 2023 год в размере</w:t>
      </w:r>
      <w:r w:rsidRPr="00B806A7">
        <w:t xml:space="preserve"> </w:t>
      </w:r>
      <w:r w:rsidRPr="00B806A7">
        <w:rPr>
          <w:rFonts w:ascii="Times New Roman" w:eastAsia="Times New Roman" w:hAnsi="Times New Roman"/>
          <w:bCs/>
          <w:kern w:val="28"/>
          <w:sz w:val="24"/>
          <w:szCs w:val="24"/>
          <w:lang w:eastAsia="ru-RU"/>
        </w:rPr>
        <w:t>313 628,76 руб. (амортизация - 305 713,33 руб., налог на имущество -</w:t>
      </w:r>
      <w:r w:rsidRPr="00B806A7">
        <w:t xml:space="preserve"> </w:t>
      </w:r>
      <w:r w:rsidRPr="00B806A7">
        <w:rPr>
          <w:rFonts w:ascii="Times New Roman" w:eastAsia="Times New Roman" w:hAnsi="Times New Roman"/>
          <w:bCs/>
          <w:kern w:val="28"/>
          <w:sz w:val="24"/>
          <w:szCs w:val="24"/>
          <w:lang w:eastAsia="ru-RU"/>
        </w:rPr>
        <w:t>7 915,43 руб.).</w:t>
      </w:r>
      <w:r w:rsidR="009A24E1" w:rsidRPr="00B806A7">
        <w:t xml:space="preserve"> </w:t>
      </w:r>
      <w:r w:rsidR="009A24E1" w:rsidRPr="00B806A7">
        <w:rPr>
          <w:rFonts w:ascii="Times New Roman" w:eastAsia="Times New Roman" w:hAnsi="Times New Roman"/>
          <w:bCs/>
          <w:kern w:val="28"/>
          <w:sz w:val="24"/>
          <w:szCs w:val="24"/>
          <w:lang w:eastAsia="ru-RU"/>
        </w:rPr>
        <w:t>Сокращение от тарифно-балансового решения на 2023 год составило</w:t>
      </w:r>
      <w:r w:rsidR="009A24E1" w:rsidRPr="00B806A7">
        <w:t xml:space="preserve"> </w:t>
      </w:r>
      <w:r w:rsidR="009A24E1" w:rsidRPr="00B806A7">
        <w:rPr>
          <w:rFonts w:ascii="Times New Roman" w:eastAsia="Times New Roman" w:hAnsi="Times New Roman"/>
          <w:bCs/>
          <w:kern w:val="28"/>
          <w:sz w:val="24"/>
          <w:szCs w:val="24"/>
          <w:lang w:eastAsia="ru-RU"/>
        </w:rPr>
        <w:t>184 566,01 руб.</w:t>
      </w:r>
    </w:p>
    <w:p w:rsidR="009A24E1" w:rsidRPr="00B806A7" w:rsidRDefault="009A24E1" w:rsidP="006C1B33">
      <w:pPr>
        <w:tabs>
          <w:tab w:val="left" w:pos="708"/>
          <w:tab w:val="center" w:pos="4153"/>
          <w:tab w:val="right" w:pos="8306"/>
        </w:tabs>
        <w:spacing w:after="0" w:line="240" w:lineRule="auto"/>
        <w:ind w:firstLine="709"/>
        <w:jc w:val="both"/>
        <w:rPr>
          <w:rFonts w:ascii="Times New Roman" w:eastAsia="Times New Roman" w:hAnsi="Times New Roman"/>
          <w:bCs/>
          <w:kern w:val="28"/>
          <w:sz w:val="24"/>
          <w:szCs w:val="24"/>
          <w:lang w:eastAsia="ru-RU"/>
        </w:rPr>
      </w:pPr>
      <w:r w:rsidRPr="00B806A7">
        <w:rPr>
          <w:rFonts w:ascii="Times New Roman" w:eastAsia="Times New Roman" w:hAnsi="Times New Roman"/>
          <w:bCs/>
          <w:kern w:val="28"/>
          <w:sz w:val="24"/>
          <w:szCs w:val="24"/>
          <w:lang w:eastAsia="ru-RU"/>
        </w:rPr>
        <w:t>На 2022 год в размере 476 561,61 руб. (амортизация - 458 569,33 руб., налог на имущество -17 992,27 руб.). Сокращение от тарифно-балансового решения на 2023 год составило 63 556,65 руб.</w:t>
      </w:r>
    </w:p>
    <w:p w:rsidR="009B523E" w:rsidRPr="00B806A7" w:rsidRDefault="00007218" w:rsidP="006C1B33">
      <w:pPr>
        <w:tabs>
          <w:tab w:val="left" w:pos="708"/>
          <w:tab w:val="center" w:pos="4153"/>
          <w:tab w:val="right" w:pos="8306"/>
        </w:tabs>
        <w:spacing w:after="0" w:line="240" w:lineRule="auto"/>
        <w:ind w:firstLine="709"/>
        <w:jc w:val="both"/>
        <w:rPr>
          <w:rFonts w:ascii="Times New Roman" w:eastAsia="Times New Roman" w:hAnsi="Times New Roman"/>
          <w:bCs/>
          <w:kern w:val="28"/>
          <w:sz w:val="24"/>
          <w:szCs w:val="24"/>
          <w:lang w:eastAsia="ru-RU"/>
        </w:rPr>
      </w:pPr>
      <w:r w:rsidRPr="00B806A7">
        <w:rPr>
          <w:rFonts w:ascii="Times New Roman" w:eastAsia="Times New Roman" w:hAnsi="Times New Roman"/>
          <w:bCs/>
          <w:kern w:val="28"/>
          <w:sz w:val="24"/>
          <w:szCs w:val="24"/>
          <w:lang w:eastAsia="ru-RU"/>
        </w:rPr>
        <w:t xml:space="preserve">пересмотрены расходы по договору аренды </w:t>
      </w:r>
      <w:r w:rsidR="009B523E" w:rsidRPr="00B806A7">
        <w:rPr>
          <w:rFonts w:ascii="Times New Roman" w:eastAsia="Times New Roman" w:hAnsi="Times New Roman"/>
          <w:bCs/>
          <w:kern w:val="28"/>
          <w:sz w:val="24"/>
          <w:szCs w:val="24"/>
          <w:lang w:eastAsia="ru-RU"/>
        </w:rPr>
        <w:t>№ 270-А от 31.12.2020 на 2024 год в размере 4 965,40 руб. (налог на имущество - 4 965,40 руб.).</w:t>
      </w:r>
      <w:r w:rsidR="00600CAF" w:rsidRPr="00B806A7">
        <w:rPr>
          <w:rFonts w:ascii="Times New Roman" w:eastAsia="Times New Roman" w:hAnsi="Times New Roman"/>
          <w:bCs/>
          <w:kern w:val="28"/>
          <w:sz w:val="24"/>
          <w:szCs w:val="24"/>
          <w:lang w:eastAsia="ru-RU"/>
        </w:rPr>
        <w:t xml:space="preserve"> Сокращение от установленной величины составило -453 603,94</w:t>
      </w:r>
      <w:r w:rsidR="009B523E" w:rsidRPr="00B806A7">
        <w:rPr>
          <w:rFonts w:ascii="Times New Roman" w:eastAsia="Times New Roman" w:hAnsi="Times New Roman"/>
          <w:bCs/>
          <w:kern w:val="28"/>
          <w:sz w:val="24"/>
          <w:szCs w:val="24"/>
          <w:lang w:eastAsia="ru-RU"/>
        </w:rPr>
        <w:t xml:space="preserve"> </w:t>
      </w:r>
    </w:p>
    <w:p w:rsidR="00007218" w:rsidRPr="00B806A7" w:rsidRDefault="009A24E1" w:rsidP="006C1B33">
      <w:pPr>
        <w:tabs>
          <w:tab w:val="left" w:pos="708"/>
          <w:tab w:val="center" w:pos="4153"/>
          <w:tab w:val="right" w:pos="8306"/>
        </w:tabs>
        <w:spacing w:after="0" w:line="240" w:lineRule="auto"/>
        <w:ind w:firstLine="709"/>
        <w:jc w:val="both"/>
        <w:rPr>
          <w:rFonts w:ascii="Times New Roman" w:eastAsia="Times New Roman" w:hAnsi="Times New Roman"/>
          <w:bCs/>
          <w:kern w:val="28"/>
          <w:sz w:val="24"/>
          <w:szCs w:val="24"/>
          <w:lang w:eastAsia="ru-RU"/>
        </w:rPr>
      </w:pPr>
      <w:r w:rsidRPr="00B806A7">
        <w:rPr>
          <w:rFonts w:ascii="Times New Roman" w:eastAsia="Times New Roman" w:hAnsi="Times New Roman"/>
          <w:bCs/>
          <w:kern w:val="28"/>
          <w:sz w:val="24"/>
          <w:szCs w:val="24"/>
          <w:lang w:eastAsia="ru-RU"/>
        </w:rPr>
        <w:t>Таким образом, расходы по данному договору признаны экономически обоснованными в размере 4 965,40 руб., поскольку сформированные департаментом расходы не превышают экономически обоснованный размер, рассчитанный на основании требований п. 27, п.п. 5 п. 28 Основ ценообразования</w:t>
      </w:r>
      <w:r w:rsidRPr="00B806A7">
        <w:rPr>
          <w:rFonts w:ascii="Cambria" w:eastAsia="Times New Roman" w:hAnsi="Cambria"/>
          <w:bCs/>
          <w:kern w:val="28"/>
          <w:sz w:val="24"/>
          <w:szCs w:val="24"/>
          <w:lang w:eastAsia="ru-RU"/>
        </w:rPr>
        <w:t xml:space="preserve">. </w:t>
      </w:r>
      <w:r w:rsidRPr="00B806A7">
        <w:rPr>
          <w:rFonts w:ascii="Times New Roman" w:eastAsia="Times New Roman" w:hAnsi="Times New Roman"/>
          <w:bCs/>
          <w:kern w:val="28"/>
          <w:sz w:val="24"/>
          <w:szCs w:val="24"/>
          <w:lang w:eastAsia="ru-RU"/>
        </w:rPr>
        <w:t>Сокращение от тарифно-балансового решения на 2024 год составило</w:t>
      </w:r>
      <w:r w:rsidRPr="00B806A7">
        <w:rPr>
          <w:rFonts w:ascii="Times New Roman" w:hAnsi="Times New Roman"/>
        </w:rPr>
        <w:t xml:space="preserve"> </w:t>
      </w:r>
      <w:r w:rsidRPr="00B806A7">
        <w:rPr>
          <w:rFonts w:ascii="Times New Roman" w:eastAsia="Times New Roman" w:hAnsi="Times New Roman"/>
          <w:bCs/>
          <w:kern w:val="28"/>
          <w:sz w:val="24"/>
          <w:szCs w:val="24"/>
          <w:lang w:eastAsia="ru-RU"/>
        </w:rPr>
        <w:t>453 603,94 руб.</w:t>
      </w:r>
    </w:p>
    <w:p w:rsidR="002B1FBB" w:rsidRPr="00B806A7" w:rsidRDefault="009A24E1" w:rsidP="006C1B33">
      <w:pPr>
        <w:tabs>
          <w:tab w:val="left" w:pos="708"/>
          <w:tab w:val="center" w:pos="4153"/>
          <w:tab w:val="right" w:pos="8306"/>
        </w:tabs>
        <w:spacing w:after="0" w:line="240" w:lineRule="auto"/>
        <w:ind w:firstLine="709"/>
        <w:jc w:val="both"/>
        <w:rPr>
          <w:rFonts w:ascii="Times New Roman" w:eastAsia="Times New Roman" w:hAnsi="Times New Roman"/>
          <w:bCs/>
          <w:kern w:val="28"/>
          <w:sz w:val="24"/>
          <w:szCs w:val="24"/>
          <w:lang w:eastAsia="ru-RU"/>
        </w:rPr>
      </w:pPr>
      <w:r w:rsidRPr="00B806A7">
        <w:rPr>
          <w:rFonts w:ascii="Times New Roman" w:eastAsia="Times New Roman" w:hAnsi="Times New Roman"/>
          <w:bCs/>
          <w:kern w:val="28"/>
          <w:sz w:val="24"/>
          <w:szCs w:val="24"/>
          <w:lang w:eastAsia="ru-RU"/>
        </w:rPr>
        <w:t>В результате пересмотра расходы по арендной плате объектов электросетевого хозяйства предлагается пересмотреть</w:t>
      </w:r>
      <w:r w:rsidR="002B1FBB" w:rsidRPr="00B806A7">
        <w:rPr>
          <w:rFonts w:ascii="Times New Roman" w:eastAsia="Times New Roman" w:hAnsi="Times New Roman"/>
          <w:bCs/>
          <w:kern w:val="28"/>
          <w:sz w:val="24"/>
          <w:szCs w:val="24"/>
          <w:lang w:eastAsia="ru-RU"/>
        </w:rPr>
        <w:t>:</w:t>
      </w:r>
      <w:r w:rsidRPr="00B806A7">
        <w:rPr>
          <w:rFonts w:ascii="Times New Roman" w:eastAsia="Times New Roman" w:hAnsi="Times New Roman"/>
          <w:bCs/>
          <w:kern w:val="28"/>
          <w:sz w:val="24"/>
          <w:szCs w:val="24"/>
          <w:lang w:eastAsia="ru-RU"/>
        </w:rPr>
        <w:t xml:space="preserve"> </w:t>
      </w:r>
    </w:p>
    <w:p w:rsidR="009A24E1" w:rsidRPr="00B806A7" w:rsidRDefault="002B1FBB" w:rsidP="006C1B33">
      <w:pPr>
        <w:tabs>
          <w:tab w:val="left" w:pos="708"/>
          <w:tab w:val="center" w:pos="4153"/>
          <w:tab w:val="right" w:pos="8306"/>
        </w:tabs>
        <w:spacing w:after="0" w:line="240" w:lineRule="auto"/>
        <w:ind w:firstLine="709"/>
        <w:jc w:val="both"/>
        <w:rPr>
          <w:rFonts w:ascii="Times New Roman" w:eastAsia="Times New Roman" w:hAnsi="Times New Roman"/>
          <w:b/>
          <w:bCs/>
          <w:kern w:val="28"/>
          <w:sz w:val="24"/>
          <w:szCs w:val="24"/>
          <w:lang w:eastAsia="ru-RU"/>
        </w:rPr>
      </w:pPr>
      <w:r w:rsidRPr="00B806A7">
        <w:rPr>
          <w:rFonts w:ascii="Times New Roman" w:eastAsia="Times New Roman" w:hAnsi="Times New Roman"/>
          <w:bCs/>
          <w:kern w:val="28"/>
          <w:sz w:val="24"/>
          <w:szCs w:val="24"/>
          <w:lang w:eastAsia="ru-RU"/>
        </w:rPr>
        <w:t>на 2024 год</w:t>
      </w:r>
      <w:r w:rsidRPr="00B806A7">
        <w:t xml:space="preserve"> </w:t>
      </w:r>
      <w:r w:rsidRPr="00B806A7">
        <w:rPr>
          <w:rFonts w:ascii="Times New Roman" w:eastAsia="Times New Roman" w:hAnsi="Times New Roman"/>
          <w:bCs/>
          <w:kern w:val="28"/>
          <w:sz w:val="24"/>
          <w:szCs w:val="24"/>
          <w:lang w:eastAsia="ru-RU"/>
        </w:rPr>
        <w:t>в размере 121 614 993,26 руб., сокращение от установленной величины составит 1 559 865,68 руб.;</w:t>
      </w:r>
      <w:r w:rsidR="007F3256" w:rsidRPr="00B806A7">
        <w:rPr>
          <w:rFonts w:ascii="Times New Roman" w:eastAsia="Times New Roman" w:hAnsi="Times New Roman"/>
          <w:bCs/>
          <w:kern w:val="28"/>
          <w:sz w:val="24"/>
          <w:szCs w:val="24"/>
          <w:lang w:eastAsia="ru-RU"/>
        </w:rPr>
        <w:t xml:space="preserve"> с учетом индексации </w:t>
      </w:r>
      <w:r w:rsidR="008C0192" w:rsidRPr="00B806A7">
        <w:rPr>
          <w:rFonts w:ascii="Times New Roman" w:eastAsia="Times New Roman" w:hAnsi="Times New Roman"/>
          <w:bCs/>
          <w:kern w:val="28"/>
          <w:sz w:val="24"/>
          <w:szCs w:val="24"/>
          <w:lang w:eastAsia="ru-RU"/>
        </w:rPr>
        <w:t xml:space="preserve">сокращение расходов </w:t>
      </w:r>
      <w:r w:rsidR="007F3256" w:rsidRPr="00B806A7">
        <w:rPr>
          <w:rFonts w:ascii="Times New Roman" w:eastAsia="Times New Roman" w:hAnsi="Times New Roman"/>
          <w:bCs/>
          <w:kern w:val="28"/>
          <w:sz w:val="24"/>
          <w:szCs w:val="24"/>
          <w:lang w:eastAsia="ru-RU"/>
        </w:rPr>
        <w:t xml:space="preserve">составит </w:t>
      </w:r>
      <w:r w:rsidR="007F3256" w:rsidRPr="00B806A7">
        <w:rPr>
          <w:rFonts w:ascii="Times New Roman" w:eastAsia="Times New Roman" w:hAnsi="Times New Roman"/>
          <w:b/>
          <w:bCs/>
          <w:kern w:val="28"/>
          <w:sz w:val="24"/>
          <w:szCs w:val="24"/>
          <w:lang w:eastAsia="ru-RU"/>
        </w:rPr>
        <w:t>(-</w:t>
      </w:r>
      <w:r w:rsidR="008C0192" w:rsidRPr="00B806A7">
        <w:rPr>
          <w:rFonts w:ascii="Times New Roman" w:eastAsia="Times New Roman" w:hAnsi="Times New Roman"/>
          <w:b/>
          <w:bCs/>
          <w:kern w:val="28"/>
          <w:sz w:val="24"/>
          <w:szCs w:val="24"/>
          <w:lang w:eastAsia="ru-RU"/>
        </w:rPr>
        <w:t>1 704 933,19</w:t>
      </w:r>
      <w:r w:rsidR="00C10E0B" w:rsidRPr="00B806A7">
        <w:rPr>
          <w:rFonts w:ascii="Times New Roman" w:eastAsia="Times New Roman" w:hAnsi="Times New Roman"/>
          <w:b/>
          <w:bCs/>
          <w:kern w:val="28"/>
          <w:sz w:val="24"/>
          <w:szCs w:val="24"/>
          <w:lang w:eastAsia="ru-RU"/>
        </w:rPr>
        <w:t>)</w:t>
      </w:r>
      <w:r w:rsidR="007F3256" w:rsidRPr="00B806A7">
        <w:rPr>
          <w:rFonts w:ascii="Times New Roman" w:eastAsia="Times New Roman" w:hAnsi="Times New Roman"/>
          <w:bCs/>
          <w:kern w:val="28"/>
          <w:sz w:val="24"/>
          <w:szCs w:val="24"/>
          <w:lang w:eastAsia="ru-RU"/>
        </w:rPr>
        <w:t xml:space="preserve"> </w:t>
      </w:r>
      <w:r w:rsidR="007F3256" w:rsidRPr="00B806A7">
        <w:rPr>
          <w:rFonts w:ascii="Times New Roman" w:eastAsia="Times New Roman" w:hAnsi="Times New Roman"/>
          <w:b/>
          <w:bCs/>
          <w:kern w:val="28"/>
          <w:sz w:val="24"/>
          <w:szCs w:val="24"/>
          <w:lang w:eastAsia="ru-RU"/>
        </w:rPr>
        <w:t>руб.;</w:t>
      </w:r>
    </w:p>
    <w:p w:rsidR="002B1FBB" w:rsidRPr="00B806A7" w:rsidRDefault="002B1FBB" w:rsidP="006C1B33">
      <w:pPr>
        <w:tabs>
          <w:tab w:val="left" w:pos="708"/>
          <w:tab w:val="center" w:pos="4153"/>
          <w:tab w:val="right" w:pos="8306"/>
        </w:tabs>
        <w:spacing w:after="0" w:line="240" w:lineRule="auto"/>
        <w:ind w:firstLine="709"/>
        <w:jc w:val="both"/>
        <w:rPr>
          <w:rFonts w:ascii="Times New Roman" w:eastAsia="Times New Roman" w:hAnsi="Times New Roman"/>
          <w:bCs/>
          <w:kern w:val="28"/>
          <w:sz w:val="24"/>
          <w:szCs w:val="24"/>
          <w:lang w:eastAsia="ru-RU"/>
        </w:rPr>
      </w:pPr>
      <w:r w:rsidRPr="00B806A7">
        <w:rPr>
          <w:rFonts w:ascii="Times New Roman" w:eastAsia="Times New Roman" w:hAnsi="Times New Roman"/>
          <w:bCs/>
          <w:kern w:val="28"/>
          <w:sz w:val="24"/>
          <w:szCs w:val="24"/>
          <w:lang w:eastAsia="ru-RU"/>
        </w:rPr>
        <w:t xml:space="preserve">на 2023 год в размере </w:t>
      </w:r>
      <w:r w:rsidR="00095426" w:rsidRPr="00B806A7">
        <w:rPr>
          <w:rFonts w:ascii="Times New Roman" w:eastAsia="Times New Roman" w:hAnsi="Times New Roman"/>
          <w:bCs/>
          <w:kern w:val="28"/>
          <w:sz w:val="24"/>
          <w:szCs w:val="24"/>
          <w:lang w:eastAsia="ru-RU"/>
        </w:rPr>
        <w:t xml:space="preserve">95 125 563,28 </w:t>
      </w:r>
      <w:r w:rsidRPr="00B806A7">
        <w:rPr>
          <w:rFonts w:ascii="Times New Roman" w:eastAsia="Times New Roman" w:hAnsi="Times New Roman"/>
          <w:bCs/>
          <w:kern w:val="28"/>
          <w:sz w:val="24"/>
          <w:szCs w:val="24"/>
          <w:lang w:eastAsia="ru-RU"/>
        </w:rPr>
        <w:t xml:space="preserve">руб., сокращение от установленной величины составит </w:t>
      </w:r>
      <w:r w:rsidR="00095426" w:rsidRPr="00B806A7">
        <w:rPr>
          <w:rFonts w:ascii="Times New Roman" w:eastAsia="Times New Roman" w:hAnsi="Times New Roman"/>
          <w:bCs/>
          <w:kern w:val="28"/>
          <w:sz w:val="24"/>
          <w:szCs w:val="24"/>
          <w:lang w:eastAsia="ru-RU"/>
        </w:rPr>
        <w:t xml:space="preserve">1 145 691,3 </w:t>
      </w:r>
      <w:r w:rsidRPr="00B806A7">
        <w:rPr>
          <w:rFonts w:ascii="Times New Roman" w:eastAsia="Times New Roman" w:hAnsi="Times New Roman"/>
          <w:bCs/>
          <w:kern w:val="28"/>
          <w:sz w:val="24"/>
          <w:szCs w:val="24"/>
          <w:lang w:eastAsia="ru-RU"/>
        </w:rPr>
        <w:t>руб.;</w:t>
      </w:r>
      <w:r w:rsidR="007F3256" w:rsidRPr="00B806A7">
        <w:t xml:space="preserve"> </w:t>
      </w:r>
      <w:r w:rsidR="007F3256" w:rsidRPr="00B806A7">
        <w:rPr>
          <w:rFonts w:ascii="Times New Roman" w:eastAsia="Times New Roman" w:hAnsi="Times New Roman"/>
          <w:bCs/>
          <w:kern w:val="28"/>
          <w:sz w:val="24"/>
          <w:szCs w:val="24"/>
          <w:lang w:eastAsia="ru-RU"/>
        </w:rPr>
        <w:t>с учетом индексации составит</w:t>
      </w:r>
      <w:r w:rsidR="007F3256" w:rsidRPr="00B806A7">
        <w:t xml:space="preserve"> </w:t>
      </w:r>
      <w:r w:rsidR="007F3256" w:rsidRPr="00B806A7">
        <w:rPr>
          <w:b/>
        </w:rPr>
        <w:t>(</w:t>
      </w:r>
      <w:r w:rsidR="007F3256" w:rsidRPr="00B806A7">
        <w:rPr>
          <w:rFonts w:ascii="Times New Roman" w:eastAsia="Times New Roman" w:hAnsi="Times New Roman"/>
          <w:b/>
          <w:bCs/>
          <w:kern w:val="28"/>
          <w:sz w:val="24"/>
          <w:szCs w:val="24"/>
          <w:lang w:eastAsia="ru-RU"/>
        </w:rPr>
        <w:t>-</w:t>
      </w:r>
      <w:r w:rsidR="00C10E0B" w:rsidRPr="00B806A7">
        <w:rPr>
          <w:rFonts w:ascii="Times New Roman" w:eastAsia="Times New Roman" w:hAnsi="Times New Roman"/>
          <w:b/>
          <w:bCs/>
          <w:kern w:val="28"/>
          <w:sz w:val="24"/>
          <w:szCs w:val="24"/>
          <w:lang w:eastAsia="ru-RU"/>
        </w:rPr>
        <w:t>1 358 681,01</w:t>
      </w:r>
      <w:r w:rsidR="007F3256" w:rsidRPr="00B806A7">
        <w:rPr>
          <w:rFonts w:ascii="Times New Roman" w:eastAsia="Times New Roman" w:hAnsi="Times New Roman"/>
          <w:b/>
          <w:bCs/>
          <w:kern w:val="28"/>
          <w:sz w:val="24"/>
          <w:szCs w:val="24"/>
          <w:lang w:eastAsia="ru-RU"/>
        </w:rPr>
        <w:t>) руб.</w:t>
      </w:r>
    </w:p>
    <w:p w:rsidR="00095426" w:rsidRPr="00B806A7" w:rsidRDefault="000E0129" w:rsidP="006C1B33">
      <w:pPr>
        <w:tabs>
          <w:tab w:val="left" w:pos="708"/>
          <w:tab w:val="center" w:pos="4153"/>
          <w:tab w:val="right" w:pos="8306"/>
        </w:tabs>
        <w:spacing w:after="0" w:line="240" w:lineRule="auto"/>
        <w:ind w:firstLine="709"/>
        <w:jc w:val="both"/>
        <w:rPr>
          <w:rFonts w:ascii="Times New Roman" w:eastAsia="Times New Roman" w:hAnsi="Times New Roman"/>
          <w:bCs/>
          <w:kern w:val="28"/>
          <w:sz w:val="24"/>
          <w:szCs w:val="24"/>
          <w:lang w:eastAsia="ru-RU"/>
        </w:rPr>
      </w:pPr>
      <w:r w:rsidRPr="00B806A7">
        <w:rPr>
          <w:rFonts w:ascii="Times New Roman" w:eastAsia="Times New Roman" w:hAnsi="Times New Roman"/>
          <w:bCs/>
          <w:kern w:val="28"/>
          <w:sz w:val="24"/>
          <w:szCs w:val="24"/>
          <w:lang w:eastAsia="ru-RU"/>
        </w:rPr>
        <w:t xml:space="preserve">Суммы по корректировкам </w:t>
      </w:r>
      <w:r w:rsidR="00C10E0B" w:rsidRPr="00B806A7">
        <w:rPr>
          <w:rFonts w:ascii="Times New Roman" w:eastAsia="Times New Roman" w:hAnsi="Times New Roman"/>
          <w:bCs/>
          <w:kern w:val="28"/>
          <w:sz w:val="24"/>
          <w:szCs w:val="24"/>
          <w:lang w:eastAsia="ru-RU"/>
        </w:rPr>
        <w:t>арендной платы по факту 2020</w:t>
      </w:r>
      <w:r w:rsidR="007F3256" w:rsidRPr="00B806A7">
        <w:rPr>
          <w:rFonts w:ascii="Times New Roman" w:eastAsia="Times New Roman" w:hAnsi="Times New Roman"/>
          <w:bCs/>
          <w:kern w:val="28"/>
          <w:sz w:val="24"/>
          <w:szCs w:val="24"/>
          <w:lang w:eastAsia="ru-RU"/>
        </w:rPr>
        <w:t>-202</w:t>
      </w:r>
      <w:r w:rsidR="00C10E0B" w:rsidRPr="00B806A7">
        <w:rPr>
          <w:rFonts w:ascii="Times New Roman" w:eastAsia="Times New Roman" w:hAnsi="Times New Roman"/>
          <w:bCs/>
          <w:kern w:val="28"/>
          <w:sz w:val="24"/>
          <w:szCs w:val="24"/>
          <w:lang w:eastAsia="ru-RU"/>
        </w:rPr>
        <w:t>2</w:t>
      </w:r>
      <w:r w:rsidR="007F3256" w:rsidRPr="00B806A7">
        <w:rPr>
          <w:rFonts w:ascii="Times New Roman" w:eastAsia="Times New Roman" w:hAnsi="Times New Roman"/>
          <w:bCs/>
          <w:kern w:val="28"/>
          <w:sz w:val="24"/>
          <w:szCs w:val="24"/>
          <w:lang w:eastAsia="ru-RU"/>
        </w:rPr>
        <w:t xml:space="preserve"> годов </w:t>
      </w:r>
      <w:r w:rsidRPr="00B806A7">
        <w:rPr>
          <w:rFonts w:ascii="Times New Roman" w:eastAsia="Times New Roman" w:hAnsi="Times New Roman"/>
          <w:bCs/>
          <w:kern w:val="28"/>
          <w:sz w:val="24"/>
          <w:szCs w:val="24"/>
          <w:lang w:eastAsia="ru-RU"/>
        </w:rPr>
        <w:t xml:space="preserve">отражены в разделе корректировка неподконтрольных расходов настоящего Заключения.  </w:t>
      </w:r>
    </w:p>
    <w:p w:rsidR="005D0F08" w:rsidRPr="00B806A7" w:rsidRDefault="005D0F08" w:rsidP="006C1B33">
      <w:pPr>
        <w:tabs>
          <w:tab w:val="left" w:pos="708"/>
          <w:tab w:val="center" w:pos="4153"/>
          <w:tab w:val="right" w:pos="8306"/>
        </w:tabs>
        <w:spacing w:after="0" w:line="240" w:lineRule="auto"/>
        <w:ind w:firstLine="709"/>
        <w:jc w:val="both"/>
        <w:rPr>
          <w:rFonts w:ascii="Times New Roman" w:eastAsia="Times New Roman" w:hAnsi="Times New Roman"/>
          <w:b/>
          <w:bCs/>
          <w:kern w:val="28"/>
          <w:sz w:val="24"/>
          <w:szCs w:val="24"/>
          <w:lang w:eastAsia="ru-RU"/>
        </w:rPr>
      </w:pPr>
      <w:r w:rsidRPr="00B806A7">
        <w:rPr>
          <w:rFonts w:ascii="Times New Roman" w:eastAsia="Times New Roman" w:hAnsi="Times New Roman"/>
          <w:b/>
          <w:bCs/>
          <w:kern w:val="28"/>
          <w:sz w:val="24"/>
          <w:szCs w:val="24"/>
          <w:lang w:eastAsia="ru-RU"/>
        </w:rPr>
        <w:t>Подраздел 2.2 «Прочие неподконтрольные расходы» в составе раздела 2. «Неподконтрольные расходы» на 2023-2024 годы</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На основания п. 2.2 Предписания департаментом дополнительно произведен анализ и расчет расходов по статье затрат «Прочие неподконтрольные расходы».</w:t>
      </w:r>
    </w:p>
    <w:p w:rsidR="005D0F08" w:rsidRPr="00B806A7" w:rsidRDefault="005D0F08" w:rsidP="005D0F08">
      <w:pPr>
        <w:spacing w:after="0" w:line="240" w:lineRule="auto"/>
        <w:ind w:firstLine="709"/>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 xml:space="preserve">Формирование на 2023 год  </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Расходы на уплаты госпошлины заявлены организацией на 2023 год в размере 729,9 тыс. руб., сформированные на основании фактических расходов, понесенных организацией и отнесенных на деятельность по передаче электрической энергии в 2021 году. Указанные расходы включают расходы по уплате госпошлины, связанной: </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 регистрацией прав на недвижимое имущество и сделок с ним в отношении земельных участков, расположенных под объектами электросетевого хозяйства (ТП), приобретенных ООО «НГСК» по договорам купли-продажи объектов электросетевого хозяйства, а также по продлению действующих договоров аренды объектов электросетевого хозяйства в связи с заключением дополнительных соглашений к ним;</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 регистрацией транспортного средства;</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с подачей заявлений в суд, а также по заявлению о рассмотрении споров и разногласий, связанных с установлением цен (тарифов) (досудебное урегулирование).  </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обоснование расходов в составе отчетной информации за 2021 год ООО «НГСК» представлены следующие документы и материалы: </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-расшифровка расходов по статье «Государственная госпошлина» за 2021 год в разрезе договоров на недвижимое имущество и сделок с ним (аренды, купли-продажи);  </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-заключенные дополнительные соглашения к действующим договорам аренды объектов электросетевого хозяйства (продление), договор купли-продажи земельных участков, договоры купли-продажи объектов электросетевого хозяйства;</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-выписки из Единого государственного реестра недвижимости Управления Федеральной службы государственной регистрации, кадастра и картографии по Новосибирской области; </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-платежные документы, подтверждающий факт уплаты организацией госпошлины: № 135 от 08.02.2021, № 167 от 19.01.2021, 178 от 24.02.2021, № 274 от 04.03.2021, 504 от 29.04.2021, № 509 от 29.04.2021, № 643 от 24.05.2021, № 741 от 21.06.2021 и т.д.). </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указанной расшифровке сумма расходов по уплате госпошлины составила                 за 2021 год 1 152,5 тыс. руб., с учетом сторнированной суммы в размере 4,605 тыс. руб. (возврат госпошлины) расходы составили 1 147,895 тыс. руб., которые распределены следующим образом:</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размере 729,895 тыс. руб. отнесены на 20 счет на деятельность по передаче электрической энергии, из них расходы по уплате государственной пошлины на регистрацию прав по продлению действующих договоров аренды объектов электросетевого хозяйства в размере 132 тыс. руб. (платежное поручение № 643 от 24.05.2021);</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размере 418,0 тыс. руб. отнесены на 01 и 08 счета, из них расходы в размере 44,0 тыс. руб. по регистрации земельных участков (Новосибирская область, Новосибирский район, Березовский сельсовет, с. Берёзовка, кадастровый номер 54:19:170601:1502; Новосибирская область, Новосибирский район, Березовский сельсовет, п. Берёзовка, ул. Лесная, участок 1г кадастровый номер 54:19:176501:865), (платежное поручение № 167 от 19.01.2021). </w:t>
      </w:r>
    </w:p>
    <w:p w:rsidR="005D0F08" w:rsidRPr="00B806A7" w:rsidRDefault="005D0F08" w:rsidP="005D0F08">
      <w:pPr>
        <w:spacing w:after="0" w:line="240" w:lineRule="auto"/>
        <w:ind w:firstLine="709"/>
        <w:jc w:val="both"/>
        <w:rPr>
          <w:rFonts w:ascii="Times New Roman" w:eastAsia="Times New Roman" w:hAnsi="Times New Roman"/>
          <w:i/>
          <w:sz w:val="24"/>
          <w:szCs w:val="24"/>
          <w:lang w:eastAsia="ru-RU"/>
        </w:rPr>
      </w:pPr>
      <w:r w:rsidRPr="00B806A7">
        <w:rPr>
          <w:rFonts w:ascii="Times New Roman" w:eastAsia="Times New Roman" w:hAnsi="Times New Roman"/>
          <w:i/>
          <w:sz w:val="24"/>
          <w:szCs w:val="24"/>
          <w:lang w:eastAsia="ru-RU"/>
        </w:rPr>
        <w:t>Расходы организации по уплате государственной пошлины на регистрацию прав на объектов электросетевого хозяйства не подлежат включению в необходимую валовую выручку организации в силу определения понятия «необходимая валовая выручка», данного в  пункте 2 Основ ценообразования в области регулируемых цен (тарифов) в электроэнергетике, утвержденных постановления Правительства РФ 29.12.2011 № 1178, как: «экономически обоснованный объем финансовых средств, необходимых организации для осуществления регулируемой деятельности в течение расчетного периода регулирования»; положений подпункта 13) пункта 17 Правил государственного регулирования (пересмотра, применения) цен (тарифов) в электроэнергетике, утвержденных постановлением Правительства РФ от 29.12.2011 № 1178, предусматривающих в качестве обязательного условия наличия оснований для установления тарифов представление регулируемой организацией в орган регулирования в подтверждение осуществления регулируемого вида деятельности документов, подтверждающих уже существующее право собственности или иные законные основания владения в отношении объектов, используемых для осуществления деятельности; а также положений части 1 статьи 131, части 2 статьи 8.1, части 2 статьи 232 ГК РФ, предусматривающих возникновение прав на недвижимое имущество с момента  государственной регистрации.</w:t>
      </w:r>
    </w:p>
    <w:p w:rsidR="005D0F08" w:rsidRPr="00B806A7" w:rsidRDefault="005D0F08" w:rsidP="005D0F08">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соответствии с </w:t>
      </w:r>
      <w:hyperlink r:id="rId11" w:history="1">
        <w:r w:rsidRPr="00B806A7">
          <w:rPr>
            <w:rFonts w:ascii="Times New Roman" w:eastAsia="Times New Roman" w:hAnsi="Times New Roman"/>
            <w:color w:val="0000FF"/>
            <w:sz w:val="24"/>
            <w:szCs w:val="24"/>
            <w:lang w:eastAsia="ru-RU"/>
          </w:rPr>
          <w:t>подпунктом 22 пункта 1 статьи 333.33</w:t>
        </w:r>
      </w:hyperlink>
      <w:r w:rsidRPr="00B806A7">
        <w:rPr>
          <w:rFonts w:ascii="Times New Roman" w:eastAsia="Times New Roman" w:hAnsi="Times New Roman"/>
          <w:sz w:val="24"/>
          <w:szCs w:val="24"/>
          <w:lang w:eastAsia="ru-RU"/>
        </w:rPr>
        <w:t xml:space="preserve"> Налогового кодекса Российской Федерации (далее - НК РФ) за государственную регистрацию прав, ограничений (обременений) прав на недвижимое имущество, договоров об отчуждении недвижимого имущества, за исключением юридически значимых действий, предусмотренных </w:t>
      </w:r>
      <w:hyperlink r:id="rId12" w:history="1">
        <w:r w:rsidRPr="00B806A7">
          <w:rPr>
            <w:rFonts w:ascii="Times New Roman" w:eastAsia="Times New Roman" w:hAnsi="Times New Roman"/>
            <w:color w:val="0000FF"/>
            <w:sz w:val="24"/>
            <w:szCs w:val="24"/>
            <w:lang w:eastAsia="ru-RU"/>
          </w:rPr>
          <w:t>подпунктами 21</w:t>
        </w:r>
      </w:hyperlink>
      <w:r w:rsidRPr="00B806A7">
        <w:rPr>
          <w:rFonts w:ascii="Times New Roman" w:eastAsia="Times New Roman" w:hAnsi="Times New Roman"/>
          <w:sz w:val="24"/>
          <w:szCs w:val="24"/>
          <w:lang w:eastAsia="ru-RU"/>
        </w:rPr>
        <w:t xml:space="preserve">, </w:t>
      </w:r>
      <w:hyperlink r:id="rId13" w:history="1">
        <w:r w:rsidRPr="00B806A7">
          <w:rPr>
            <w:rFonts w:ascii="Times New Roman" w:eastAsia="Times New Roman" w:hAnsi="Times New Roman"/>
            <w:color w:val="0000FF"/>
            <w:sz w:val="24"/>
            <w:szCs w:val="24"/>
            <w:lang w:eastAsia="ru-RU"/>
          </w:rPr>
          <w:t>22.1</w:t>
        </w:r>
      </w:hyperlink>
      <w:r w:rsidRPr="00B806A7">
        <w:rPr>
          <w:rFonts w:ascii="Times New Roman" w:eastAsia="Times New Roman" w:hAnsi="Times New Roman"/>
          <w:sz w:val="24"/>
          <w:szCs w:val="24"/>
          <w:lang w:eastAsia="ru-RU"/>
        </w:rPr>
        <w:t xml:space="preserve">, </w:t>
      </w:r>
      <w:hyperlink r:id="rId14" w:history="1">
        <w:r w:rsidRPr="00B806A7">
          <w:rPr>
            <w:rFonts w:ascii="Times New Roman" w:eastAsia="Times New Roman" w:hAnsi="Times New Roman"/>
            <w:color w:val="0000FF"/>
            <w:sz w:val="24"/>
            <w:szCs w:val="24"/>
            <w:lang w:eastAsia="ru-RU"/>
          </w:rPr>
          <w:t>23</w:t>
        </w:r>
      </w:hyperlink>
      <w:r w:rsidRPr="00B806A7">
        <w:rPr>
          <w:rFonts w:ascii="Times New Roman" w:eastAsia="Times New Roman" w:hAnsi="Times New Roman"/>
          <w:sz w:val="24"/>
          <w:szCs w:val="24"/>
          <w:lang w:eastAsia="ru-RU"/>
        </w:rPr>
        <w:t xml:space="preserve"> - </w:t>
      </w:r>
      <w:hyperlink r:id="rId15" w:history="1">
        <w:r w:rsidRPr="00B806A7">
          <w:rPr>
            <w:rFonts w:ascii="Times New Roman" w:eastAsia="Times New Roman" w:hAnsi="Times New Roman"/>
            <w:color w:val="0000FF"/>
            <w:sz w:val="24"/>
            <w:szCs w:val="24"/>
            <w:lang w:eastAsia="ru-RU"/>
          </w:rPr>
          <w:t>26</w:t>
        </w:r>
      </w:hyperlink>
      <w:r w:rsidRPr="00B806A7">
        <w:rPr>
          <w:rFonts w:ascii="Times New Roman" w:eastAsia="Times New Roman" w:hAnsi="Times New Roman"/>
          <w:sz w:val="24"/>
          <w:szCs w:val="24"/>
          <w:lang w:eastAsia="ru-RU"/>
        </w:rPr>
        <w:t xml:space="preserve">, </w:t>
      </w:r>
      <w:hyperlink r:id="rId16" w:history="1">
        <w:r w:rsidRPr="00B806A7">
          <w:rPr>
            <w:rFonts w:ascii="Times New Roman" w:eastAsia="Times New Roman" w:hAnsi="Times New Roman"/>
            <w:color w:val="0000FF"/>
            <w:sz w:val="24"/>
            <w:szCs w:val="24"/>
            <w:lang w:eastAsia="ru-RU"/>
          </w:rPr>
          <w:t>28</w:t>
        </w:r>
      </w:hyperlink>
      <w:r w:rsidRPr="00B806A7">
        <w:rPr>
          <w:rFonts w:ascii="Times New Roman" w:eastAsia="Times New Roman" w:hAnsi="Times New Roman"/>
          <w:sz w:val="24"/>
          <w:szCs w:val="24"/>
          <w:lang w:eastAsia="ru-RU"/>
        </w:rPr>
        <w:t xml:space="preserve"> - </w:t>
      </w:r>
      <w:hyperlink r:id="rId17" w:history="1">
        <w:r w:rsidRPr="00B806A7">
          <w:rPr>
            <w:rFonts w:ascii="Times New Roman" w:eastAsia="Times New Roman" w:hAnsi="Times New Roman"/>
            <w:color w:val="0000FF"/>
            <w:sz w:val="24"/>
            <w:szCs w:val="24"/>
            <w:lang w:eastAsia="ru-RU"/>
          </w:rPr>
          <w:t>31</w:t>
        </w:r>
      </w:hyperlink>
      <w:r w:rsidRPr="00B806A7">
        <w:rPr>
          <w:rFonts w:ascii="Times New Roman" w:eastAsia="Times New Roman" w:hAnsi="Times New Roman"/>
          <w:sz w:val="24"/>
          <w:szCs w:val="24"/>
          <w:lang w:eastAsia="ru-RU"/>
        </w:rPr>
        <w:t xml:space="preserve">, </w:t>
      </w:r>
      <w:hyperlink r:id="rId18" w:history="1">
        <w:r w:rsidRPr="00B806A7">
          <w:rPr>
            <w:rFonts w:ascii="Times New Roman" w:eastAsia="Times New Roman" w:hAnsi="Times New Roman"/>
            <w:color w:val="0000FF"/>
            <w:sz w:val="24"/>
            <w:szCs w:val="24"/>
            <w:lang w:eastAsia="ru-RU"/>
          </w:rPr>
          <w:t>61</w:t>
        </w:r>
      </w:hyperlink>
      <w:r w:rsidRPr="00B806A7">
        <w:rPr>
          <w:rFonts w:ascii="Times New Roman" w:eastAsia="Times New Roman" w:hAnsi="Times New Roman"/>
          <w:sz w:val="24"/>
          <w:szCs w:val="24"/>
          <w:lang w:eastAsia="ru-RU"/>
        </w:rPr>
        <w:t xml:space="preserve"> и </w:t>
      </w:r>
      <w:hyperlink r:id="rId19" w:history="1">
        <w:r w:rsidRPr="00B806A7">
          <w:rPr>
            <w:rFonts w:ascii="Times New Roman" w:eastAsia="Times New Roman" w:hAnsi="Times New Roman"/>
            <w:color w:val="0000FF"/>
            <w:sz w:val="24"/>
            <w:szCs w:val="24"/>
            <w:lang w:eastAsia="ru-RU"/>
          </w:rPr>
          <w:t>80.1 пункта 1 статьи 333.33</w:t>
        </w:r>
      </w:hyperlink>
      <w:r w:rsidRPr="00B806A7">
        <w:rPr>
          <w:rFonts w:ascii="Times New Roman" w:eastAsia="Times New Roman" w:hAnsi="Times New Roman"/>
          <w:sz w:val="24"/>
          <w:szCs w:val="24"/>
          <w:lang w:eastAsia="ru-RU"/>
        </w:rPr>
        <w:t xml:space="preserve"> НК РФ, организацией уплачивается государственная пошлина в размере 22 000 рублей.</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анализа указанных материалов департаментом признаны экономически обоснованными и подлежащие учету в составе расходов НВВ ООО «НГСК» на 2023 год расходы организации по уплате государственной пошлины на регистрацию прав земельных участков, а также по продлению действующих договоров аренды объектов электросетевого хозяйства, сложившиеся по факту 2021 года в суммарном размере 176,0 тыс. руб. (8*22000) и подтвержденные документально.</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Сокращение относительно заявленной величины расходов составило 553,9 тыс. руб.</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результате, расходы по уплате госпошлины признаны экономически обоснованными в размере 176 тыс. руб. и пересмотру не подлежат.</w:t>
      </w:r>
    </w:p>
    <w:p w:rsidR="005D0F08" w:rsidRPr="00B806A7" w:rsidRDefault="005D0F08" w:rsidP="005D0F08">
      <w:pPr>
        <w:spacing w:after="0" w:line="240" w:lineRule="auto"/>
        <w:ind w:firstLine="709"/>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 xml:space="preserve">Формирование на 2024 год  </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Расходы на уплаты госпошлины заявлены организацией на 2024 год в размере 660 тыс. руб., сформированные с учетом фактических расходов, понесенных организацией и отнесенных на деятельность по передаче электрической энергии в 2022 году.</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 обоснование расходов в составе отчетной информации за 2022 год ООО «НГСК» представлены следующие документы и материалы: </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-расшифровка расходов по статье «Государственная госпошлина» за 2022 год в разрезе договоров на недвижимое имущество и сделок с ним (аренды, купли-продажи), исковых заявлений в суд;  </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-заключенные дополнительные соглашения к действующим договорам аренды объектов электросетевого хозяйства, договоры купли-продажи объектов электросетевого хозяйства;</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-выписки из Единого государственного реестра недвижимости Управления Федеральной службы государственной регистрации, кадастра и картографии по Новосибирской области;</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-платежные документы, подтверждающий факт уплаты организацией госпошлины: № 393 от 02.03.2022, № 281 от 14.04.2022, № 293 от 18.04.2022, № 319 от 22.04.2022, № 657 от 24.05.2022, № 700 от 02.06.2022, №1203 от 11.08.2022, № 1426 от 02.09.2022, № 1576 от 04.10.2022, № 1625 от 12.10.2022, № 1738 от 28.10.2022, № 1871 от 07.11.2022,  № 1832 и № 1834 от 08.11.2022, № 1844 от 10.11.2022, № 2032 от 08.12.2022 и т.д.).</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Согласно указанной расшифровке расходы по уплате госпошлины составили за 2022 год 2 857,633 тыс. руб., которые распределены следующим образом:</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размере 2 333,5 тыс. руб. отнесены на 20 счет на деятельность по передаче электрической энергии и включают расходы, связанные с регистрацией прав на недвижимое имущество и сделок с ним в отношении приобретенных ООО «НГСК» по договорам купли-продажи объектов электросетевого хозяйства, а также по продлению (внесению изменений) действующих договоров аренды объектов электросетевого хозяйства в связи с заключением дополнительных соглашений к ним;</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размере 524, 133 тыс. руб. отнесены на 91 счет и включают расходы, связанные:</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с регистрацией транспортного средства; </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с подачей заявлений в суд, кассационной жалобы на Решение АС НСО от 27.07.2022 и Постановление 7ААС от 24.10.2022 по делу № А45-12703/2020, апелляционной жалобы на Решение АС НСО от 29.11.2022 по делу № А45-31406/2021, апелляционной жалобы на Решение Новосибирского областного суда от 09.11.2022 по делу № 3А-4/2022, искового заявления к АО «РЭС»; </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с оплатой судебной экспертизы по делу № 3а-4/2022. </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анализа представленных документов департаментом признаны экономически обоснованными расходы по уплате госпошлины в размере 726 тыс. руб. (33*22000), связанные с регистрацией дополнительных соглашений к (по продлению/ внесению изменений) действующим договорам аренды объектов электросетевого хозяйства, сложившиеся по факту 2022 года, отнесенные на 20 счет (деятельность по передаче электрической энергии)  и подтвержденные документально.</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Учитывая, что заявленная ООО «НГСК» величина расходов на оплату госпошлины в размере 660 тыс. руб. ниже фактических расходов за 2022 год (признанных экономически обоснованными), расходы на уплаты госпошлины департаментом предлагается учесть в размере 660 тыс. руб.</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Таким образом, расходы по уплате госпошлины признаны экономически обоснованными в размере 660 тыс. руб. и пересмотру не подлежат.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
          <w:bCs/>
          <w:iCs/>
          <w:color w:val="000000"/>
          <w:sz w:val="24"/>
          <w:szCs w:val="24"/>
          <w:u w:val="single"/>
          <w:lang w:eastAsia="ru-RU"/>
        </w:rPr>
      </w:pPr>
      <w:r w:rsidRPr="00B806A7">
        <w:rPr>
          <w:rFonts w:ascii="Times New Roman" w:eastAsia="Times New Roman" w:hAnsi="Times New Roman"/>
          <w:b/>
          <w:bCs/>
          <w:iCs/>
          <w:color w:val="000000"/>
          <w:sz w:val="24"/>
          <w:szCs w:val="24"/>
          <w:u w:val="single"/>
          <w:lang w:eastAsia="ru-RU"/>
        </w:rPr>
        <w:t>Корректировка неподконтрольных расходов за 2020 год</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ООО «НГСК» заявлены возмещению выпадающие доходы за 2020 год в размере                     11 687,9 тыс.руб.  (в текущих ценах) в части неподконтрольных расходов, связанных с превышением фактических расходов, относимых на деятельность по передаче электрической энергии, относительно расходов, учтенных департаментом при формировании (корректировке) НВВ ООО «НГСК» на 2020 год,  в том числе:</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на покрытие выпадающих доходов, связанных с превышением расходов по оплате услуг ПАО «ФСК ЕЭС», в размере 109,9 тыс. руб.;</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на покрытие выпадающих доходов, связанных с возникновением расходов, связанных арендой объектов электросетевого хозяйства, а также транспортных средств, помещений и прочего имущества в размере 11 578,0 тыс. руб.;</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
          <w:bCs/>
          <w:iCs/>
          <w:color w:val="000000"/>
          <w:sz w:val="24"/>
          <w:szCs w:val="24"/>
          <w:lang w:eastAsia="ru-RU"/>
        </w:rPr>
        <w:t>Расходы на оплату услуг ПАО «ФСК» ЕЭС</w:t>
      </w:r>
      <w:r w:rsidRPr="00B806A7">
        <w:rPr>
          <w:rFonts w:ascii="Times New Roman" w:eastAsia="Times New Roman" w:hAnsi="Times New Roman"/>
          <w:bCs/>
          <w:iCs/>
          <w:color w:val="000000"/>
          <w:sz w:val="24"/>
          <w:szCs w:val="24"/>
          <w:lang w:eastAsia="ru-RU"/>
        </w:rPr>
        <w:t xml:space="preserve"> по факту 2020 года составили 2 200,55 тыс. руб. с ростом к плану на 109,9 тыс. руб.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xml:space="preserve">В обоснование фактических расходов на оплату услуг ПАО «ФСК-ЕЭС» за 2020 год организацией в составе материалов отчета о производственно-хозяйственной деятельности был предоставлен договор оказания услуг по передаче электрической энергии по единой национальной (общероссийской) электрической сети с ПАО «ФСК-ЕЭС» от 31.01.2019 г. № 1512/П с учетом дополнительных соглашений, карточка счета 20 за 2020 год, а также счета-фактуры и акты об оказанных услугах за 2020 год (прилагаются к заключению).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xml:space="preserve">Таким образом, департаментом были признаны экономически обоснованными расходы на оплату услуг ПАО «ФСК ЕЭС» за 2020 год, подтвержденные документально, в размере                 2 200,55 тыс. руб.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В соответствии с формулой 7 Методических указаний № 98-э корректировка расходов на оплату услуг ПАО «ФСК» ЕЭС в размере 109,9 тыс. руб. (2 200,55-</w:t>
      </w:r>
      <w:r w:rsidR="007F3256" w:rsidRPr="00B806A7">
        <w:t xml:space="preserve"> </w:t>
      </w:r>
      <w:r w:rsidR="007F3256" w:rsidRPr="00B806A7">
        <w:rPr>
          <w:rFonts w:ascii="Times New Roman" w:eastAsia="Times New Roman" w:hAnsi="Times New Roman"/>
          <w:bCs/>
          <w:iCs/>
          <w:color w:val="000000"/>
          <w:sz w:val="24"/>
          <w:szCs w:val="24"/>
          <w:lang w:eastAsia="ru-RU"/>
        </w:rPr>
        <w:t>2 090,70</w:t>
      </w:r>
      <w:r w:rsidRPr="00B806A7">
        <w:rPr>
          <w:rFonts w:ascii="Times New Roman" w:eastAsia="Times New Roman" w:hAnsi="Times New Roman"/>
          <w:bCs/>
          <w:iCs/>
          <w:color w:val="000000"/>
          <w:sz w:val="24"/>
          <w:szCs w:val="24"/>
          <w:lang w:eastAsia="ru-RU"/>
        </w:rPr>
        <w:t>), связанная с превышением фактических расходов относительно плановой величины расходов, подлежала возмещению при корректировке НВВ ООО «НГСК» и тарифа на 2022 год. Указанная корректировка была произведена с учетом индексов потребительских цен по формуле 3 Методических указаний № 98-э в размере 121,5 тыс. руб. (109,9*1,06*1,043).</w:t>
      </w:r>
      <w:r w:rsidRPr="00B806A7">
        <w:rPr>
          <w:rFonts w:ascii="Times New Roman" w:eastAsia="Times New Roman" w:hAnsi="Times New Roman"/>
          <w:bCs/>
          <w:iCs/>
          <w:color w:val="000000"/>
          <w:sz w:val="24"/>
          <w:szCs w:val="24"/>
          <w:lang w:eastAsia="ru-RU"/>
        </w:rPr>
        <w:tab/>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
          <w:bCs/>
          <w:iCs/>
          <w:color w:val="000000"/>
          <w:sz w:val="24"/>
          <w:szCs w:val="24"/>
          <w:lang w:eastAsia="ru-RU"/>
        </w:rPr>
        <w:t>Расходы по аренде имущества</w:t>
      </w:r>
      <w:r w:rsidRPr="00B806A7">
        <w:rPr>
          <w:rFonts w:ascii="Times New Roman" w:eastAsia="Times New Roman" w:hAnsi="Times New Roman"/>
          <w:bCs/>
          <w:iCs/>
          <w:color w:val="000000"/>
          <w:sz w:val="24"/>
          <w:szCs w:val="24"/>
          <w:lang w:eastAsia="ru-RU"/>
        </w:rPr>
        <w:t xml:space="preserve"> по факту составили 50 947,22 тыс. руб. с ростом относительно плановой величины на 11 578,0 тыс. руб., за счет:</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увеличения расходов по аренде офисных помещений на 3 453 тыс. руб., обусловленное увеличением площади арендуемых помещений на основании новых договоров аренды (субаренды), заключенных ООО «НГСК» со следующими контрагентами: ООО «МЭСК»,</w:t>
      </w:r>
      <w:r w:rsidRPr="00B806A7">
        <w:rPr>
          <w:rFonts w:ascii="Times New Roman" w:eastAsia="Times New Roman" w:hAnsi="Times New Roman"/>
          <w:sz w:val="24"/>
          <w:szCs w:val="24"/>
          <w:lang w:eastAsia="ru-RU"/>
        </w:rPr>
        <w:t xml:space="preserve"> ООО «</w:t>
      </w:r>
      <w:r w:rsidRPr="00B806A7">
        <w:rPr>
          <w:rFonts w:ascii="Times New Roman" w:eastAsia="Times New Roman" w:hAnsi="Times New Roman"/>
          <w:bCs/>
          <w:iCs/>
          <w:color w:val="000000"/>
          <w:sz w:val="24"/>
          <w:szCs w:val="24"/>
          <w:lang w:eastAsia="ru-RU"/>
        </w:rPr>
        <w:t>Стройтехмонтаж»,</w:t>
      </w:r>
      <w:r w:rsidRPr="00B806A7">
        <w:rPr>
          <w:rFonts w:ascii="Times New Roman" w:eastAsia="Times New Roman" w:hAnsi="Times New Roman"/>
          <w:sz w:val="24"/>
          <w:szCs w:val="24"/>
          <w:lang w:eastAsia="ru-RU"/>
        </w:rPr>
        <w:t xml:space="preserve"> </w:t>
      </w:r>
      <w:r w:rsidRPr="00B806A7">
        <w:rPr>
          <w:rFonts w:ascii="Times New Roman" w:eastAsia="Times New Roman" w:hAnsi="Times New Roman"/>
          <w:bCs/>
          <w:iCs/>
          <w:color w:val="000000"/>
          <w:sz w:val="24"/>
          <w:szCs w:val="24"/>
          <w:lang w:eastAsia="ru-RU"/>
        </w:rPr>
        <w:t xml:space="preserve">расходы по которым не учитывались в тарифно-балансовом решении на 2020 год;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увеличения расходов по аренде объектов электросетевого хозяйства на 6 532 тыс. руб., в связи с заключением новых договоров аренды, расходы по которым не учитывались в тарифно-балансовом решении на 2020 год, а также из-за стоимости арендной платы, предусмотренной договорами аренды (по ряду договоров), которая была признана департаментом экономически необоснованной, поскольку не соответствовала требованиям п. 27 и пп. 5 п. 28 Основ ценообразования;</w:t>
      </w:r>
    </w:p>
    <w:p w:rsidR="005D0F08" w:rsidRPr="00B806A7" w:rsidRDefault="005D0F08" w:rsidP="005D0F08">
      <w:pPr>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xml:space="preserve">- наличия расходов </w:t>
      </w:r>
      <w:r w:rsidRPr="00B806A7">
        <w:rPr>
          <w:rFonts w:ascii="Times New Roman" w:eastAsia="Times New Roman" w:hAnsi="Times New Roman"/>
          <w:sz w:val="24"/>
          <w:szCs w:val="24"/>
          <w:lang w:eastAsia="ru-RU"/>
        </w:rPr>
        <w:t>по а</w:t>
      </w:r>
      <w:r w:rsidRPr="00B806A7">
        <w:rPr>
          <w:rFonts w:ascii="Times New Roman" w:eastAsia="Times New Roman" w:hAnsi="Times New Roman"/>
          <w:bCs/>
          <w:iCs/>
          <w:color w:val="000000"/>
          <w:sz w:val="24"/>
          <w:szCs w:val="24"/>
          <w:lang w:eastAsia="ru-RU"/>
        </w:rPr>
        <w:t>ренде прочего имущества в размере 1 385 тыс. руб. и аренде транспортных средств в размере 208 тыс. руб., расходы по которым не учитывались департаментом в составе НВВ ООО «НГСК» на 2020 год, поскольку не заявлялись организацией.</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В обоснование указанных расходов ООО «НГСК» представлены действующие договоры аренды в 2020 году, акты сдачи-приемки и счета-фактуры к ним, первичные документы бухгалтерского учета, подтверждающие начисление амортизации, а также налоговые декларации за 2020 год.</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дополнительно проведен анализ указанных документов на предмет соответствия требованиям п. 27, п.п. 5 п. 28, п. 29 Основ ценообразования.</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Закупочные процедуры, по результатам которых ООО «НГСК» были заключены договоры аренды (субаренды) офисных помещений: № 1 Ар от 11.12.2019 года и от 01.10.2020 № 111-2020/АИ, были проведены в соответствии с п. 3.7.1.13  Положения о порядке </w:t>
      </w:r>
      <w:r w:rsidRPr="00B806A7">
        <w:rPr>
          <w:rFonts w:ascii="Times New Roman" w:eastAsia="Times New Roman" w:hAnsi="Times New Roman"/>
          <w:color w:val="000000"/>
          <w:sz w:val="24"/>
          <w:szCs w:val="24"/>
          <w:lang w:eastAsia="ru-RU"/>
        </w:rPr>
        <w:t>проведения закупок товаров, работ и услуг ООО «НГСК»</w:t>
      </w:r>
      <w:r w:rsidRPr="00B806A7">
        <w:rPr>
          <w:rFonts w:ascii="Times New Roman" w:eastAsia="Times New Roman" w:hAnsi="Times New Roman"/>
          <w:sz w:val="24"/>
          <w:szCs w:val="24"/>
          <w:lang w:eastAsia="ru-RU"/>
        </w:rPr>
        <w:t>. Вместе с тем, данные закупки являлись неконкурентными (закупка у единственного поставщика (исполнителя, подрядчика)).</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Учитывая, что указанные закупки являются неконкурентными, они не соответствует требованиям п. 29 Основ ценообразования. В связи с чем, департаментом были признаны экономически обоснованными расходы на аренду офисного помещения на уровне плановой величины в размере 553 тыс. руб.</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При оценке анализа экономической обоснованности фактических расходов на аренду объектов электросетевого хозяйства специалистом департамента были проанализированы предоставленные бухгалтерские документы, налоговые декларации и другие документы, подтверждающие начисление собственниками амортизации, уплату налогов и других обязательных платежей, предусмотренных законодательством Российской Федерации.</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Вместе с тем расходы на аренду объектов электросетевого хозяйства департаментом признаны экономически обоснованными в соответствии с требованиями п. 27 пп. 5 п. 28 Основ ценообразования в размере 38 131,7 тыс. руб. (на том же уровне) исключительно только по объектам электросетевого хозяйства, учтенным департаментом в тарифно-балансовом решении на 2020 год, в отношении которых ООО «НГСК» заключен с АО «РЭС» договор на оказание услуг по передаче электрической энергии на основании требований п. 17 Правил № 1178; сокращение от плановой величины расходов составило 684,5 тыс. руб.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Расходы по аренде транспортных средств в размере 208 тыс. руб., а также по аренде прочего имущества в размере 1 385 тыс. руб., фактически понесенные и отнесенные ООО «НГСК» на деятельность по передаче электрической энергии в 2020 году, в связи с непредоставлением ООО «НГСК» документов были признаны департаментом экономически необоснованными на основании требований пп.5 п. 28 и п. 29 Основ ценообразования.</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результате общая сумма корректировки расходов по арендной плате в ценах 2020 года на основании формулы 7 Методических указаний № 98-э составит 684,5 тыс. руб. (553 +                    38 131,7) – (553+38 816,2) (-∆НВВ).</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На основании требований формулы 3 Методических указаний № 98-э указанная сумма корректировки, подлежащая учету в составе НВВ ООО «НГСК» на 2022 год, рассчитана с учетом индексов потребительских цен: 684,5*1,06*1,043 = 756,8 тыс. руб. (-∆НВВ).</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Корректировка неподконтрольных расходов исходя из фактических значений указанного параметра в 2020 году по формуле 7 Методических указаний  № 98-э, с учетом индексации, применяемой по формуле 3  Методических указаний  № 98-э,  произведена следующим образом:</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xml:space="preserve">1) в сторону увеличения на 121,5 тыс. руб. по оплате услуг ПАО «ФСК «ЕЭС»;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xml:space="preserve">2) в сторону снижения на 756,8 тыс. руб. по статье «аренда».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xml:space="preserve">В результате, при формировании (корректировке) НВВ ООО «НГСК» на 2022 год подлежали изъятию расходы, связанные с корректировкой неподконтрольных расходов за 2020 год, в суммарном размере </w:t>
      </w:r>
      <w:r w:rsidRPr="00B806A7">
        <w:rPr>
          <w:rFonts w:ascii="Times New Roman" w:eastAsia="Times New Roman" w:hAnsi="Times New Roman"/>
          <w:b/>
          <w:bCs/>
          <w:iCs/>
          <w:color w:val="000000"/>
          <w:sz w:val="24"/>
          <w:szCs w:val="24"/>
          <w:lang w:eastAsia="ru-RU"/>
        </w:rPr>
        <w:t>635,3 тыс. руб.</w:t>
      </w:r>
      <w:r w:rsidRPr="00B806A7">
        <w:rPr>
          <w:rFonts w:ascii="Times New Roman" w:eastAsia="Times New Roman" w:hAnsi="Times New Roman"/>
          <w:bCs/>
          <w:iCs/>
          <w:color w:val="000000"/>
          <w:sz w:val="24"/>
          <w:szCs w:val="24"/>
          <w:lang w:eastAsia="ru-RU"/>
        </w:rPr>
        <w:t xml:space="preserve"> (109,9 - 684,5) * 1,06 * 1,043 (–∆НВВ на 2022 год).</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xml:space="preserve">Таким образом, произведенная корректировка неподконтрольных расходов выполнена исходя из фактических расходов, подтвержденных ООО «НГСК» документально, с соблюдением формул Методических указаний 98-э. </w:t>
      </w:r>
    </w:p>
    <w:p w:rsidR="000E0129" w:rsidRPr="00B806A7" w:rsidRDefault="000E0129" w:rsidP="005D0F08">
      <w:pPr>
        <w:autoSpaceDE w:val="0"/>
        <w:autoSpaceDN w:val="0"/>
        <w:adjustRightInd w:val="0"/>
        <w:spacing w:after="0" w:line="240" w:lineRule="auto"/>
        <w:ind w:firstLine="709"/>
        <w:jc w:val="both"/>
        <w:rPr>
          <w:rFonts w:ascii="Times New Roman" w:eastAsia="Times New Roman" w:hAnsi="Times New Roman"/>
          <w:b/>
          <w:bCs/>
          <w:iCs/>
          <w:color w:val="000000"/>
          <w:sz w:val="24"/>
          <w:szCs w:val="24"/>
          <w:lang w:eastAsia="ru-RU"/>
        </w:rPr>
      </w:pPr>
      <w:r w:rsidRPr="00B806A7">
        <w:rPr>
          <w:rFonts w:ascii="Times New Roman" w:eastAsia="Times New Roman" w:hAnsi="Times New Roman"/>
          <w:b/>
          <w:bCs/>
          <w:iCs/>
          <w:color w:val="000000"/>
          <w:sz w:val="24"/>
          <w:szCs w:val="24"/>
          <w:lang w:eastAsia="ru-RU"/>
        </w:rPr>
        <w:t>С учетом пересмотра корректировки арендной платы объектов электросетевого хозяйства за 2020 год подлежат изъятию необоснованные расходы в составе НВВ ООО «НГСК на 2025 год в размере -90 060,79 руб., с учетом индексации составят (-</w:t>
      </w:r>
      <w:r w:rsidR="00C10E0B" w:rsidRPr="00B806A7">
        <w:rPr>
          <w:rFonts w:ascii="Times New Roman" w:eastAsia="Times New Roman" w:hAnsi="Times New Roman"/>
          <w:b/>
          <w:bCs/>
          <w:iCs/>
          <w:color w:val="000000"/>
          <w:sz w:val="24"/>
          <w:szCs w:val="24"/>
          <w:lang w:eastAsia="ru-RU"/>
        </w:rPr>
        <w:t>125 046,57</w:t>
      </w:r>
      <w:r w:rsidRPr="00B806A7">
        <w:rPr>
          <w:rFonts w:ascii="Times New Roman" w:eastAsia="Times New Roman" w:hAnsi="Times New Roman"/>
          <w:b/>
          <w:bCs/>
          <w:iCs/>
          <w:color w:val="000000"/>
          <w:sz w:val="24"/>
          <w:szCs w:val="24"/>
          <w:lang w:eastAsia="ru-RU"/>
        </w:rPr>
        <w:t xml:space="preserve">) руб.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
          <w:bCs/>
          <w:iCs/>
          <w:color w:val="000000"/>
          <w:sz w:val="24"/>
          <w:szCs w:val="24"/>
          <w:u w:val="single"/>
          <w:lang w:eastAsia="ru-RU"/>
        </w:rPr>
      </w:pPr>
      <w:r w:rsidRPr="00B806A7">
        <w:rPr>
          <w:rFonts w:ascii="Times New Roman" w:eastAsia="Times New Roman" w:hAnsi="Times New Roman"/>
          <w:b/>
          <w:bCs/>
          <w:iCs/>
          <w:color w:val="000000"/>
          <w:sz w:val="24"/>
          <w:szCs w:val="24"/>
          <w:u w:val="single"/>
          <w:lang w:eastAsia="ru-RU"/>
        </w:rPr>
        <w:t>Корректировка неподконтрольных расходов за 2021 год</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ООО «НГСК» заявлены возмещению выпадающие доходы за 2021 год в размере                     24 548,08 тыс. руб. (в текущих ценах) в части неподконтрольных расходов, связанных с превышением/сокращением фактических расходов, относимых на деятельность по передаче электрической энергии, относительно расходов, учтенных департаментом при формировании (корректировке) НВВ ООО «НГСК» на 2021 год,  в том числе:</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на покрытие выпадающих доходов, связанных с превышением расходов по оплате услуг ПАО «ФСК ЕЭС», в размере 513,76 тыс. руб.;</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на покрытие выпадающих доходов, связанных с возникновением расходов по аренде объектов электросетевого хозяйства, помещений и прочего имущества, а также компенсацией расходов ряду сотрудников организации за использование личных автомобилей для служебных поездок в размере 20 938,83 тыс. руб.;</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на покрытие выпадающих доходов, связанных с превышением расходов по начислению амортизационных отчислений, в размере 3 009,37 тыс. руб.;</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w:t>
      </w:r>
      <w:r w:rsidRPr="00B806A7">
        <w:rPr>
          <w:rFonts w:ascii="Times New Roman" w:eastAsia="Times New Roman" w:hAnsi="Times New Roman"/>
          <w:sz w:val="24"/>
          <w:szCs w:val="24"/>
          <w:lang w:eastAsia="ru-RU"/>
        </w:rPr>
        <w:t xml:space="preserve"> на покрытие выпадающих доходов, связанных с превышением расходов по уплате налога на имущество в размере </w:t>
      </w:r>
      <w:r w:rsidRPr="00B806A7">
        <w:rPr>
          <w:rFonts w:ascii="Times New Roman" w:eastAsia="Times New Roman" w:hAnsi="Times New Roman"/>
          <w:bCs/>
          <w:iCs/>
          <w:sz w:val="24"/>
          <w:szCs w:val="24"/>
          <w:lang w:eastAsia="ru-RU"/>
        </w:rPr>
        <w:t>95,78 тыс. руб.;</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корректировка расходов по тепловой энергии в сторону снижения на 9,66 тыс. руб.</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
          <w:bCs/>
          <w:iCs/>
          <w:color w:val="000000"/>
          <w:sz w:val="24"/>
          <w:szCs w:val="24"/>
          <w:lang w:eastAsia="ru-RU"/>
        </w:rPr>
        <w:t>Расходы на оплату услуг ПАО «ФСК» ЕЭС</w:t>
      </w:r>
      <w:r w:rsidRPr="00B806A7">
        <w:rPr>
          <w:rFonts w:ascii="Times New Roman" w:eastAsia="Times New Roman" w:hAnsi="Times New Roman"/>
          <w:bCs/>
          <w:iCs/>
          <w:color w:val="000000"/>
          <w:sz w:val="24"/>
          <w:szCs w:val="24"/>
          <w:lang w:eastAsia="ru-RU"/>
        </w:rPr>
        <w:t xml:space="preserve"> по факту 2021 года составили 3 420,86 тыс. руб. с ростом к плану на 513,76 тыс. руб.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В обоснование фактических расходов на оплату услуг ПАО «ФСК-ЕЭС» за 2021 год организацией в составе материалов отчета о производственно-хозяйственной деятельности был предоставлен договор оказания услуг по передаче электрической энергии по единой национальной (общероссийской) электрической сети с ПАО «ФСК-ЕЭС» от 31.01.2019                     № 1512/П с учетом дополнительных соглашений, карточка счета 20 за 2021 год, а также счета-фактуры и акты об оказанных услугах за 2021 год (прилагаются к заключению).</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xml:space="preserve">Таким образом, департаментом были признаны экономически обоснованными расходы на оплату услуг ПАО «ФСК ЕЭС» за 2021 год, подтвержденные документально, в размере                 3 420,86 тыс. руб.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В соответствии с формулой 7 Методических указаний  № 98-э корректировка расходов на оплату услуг ПАО «ФСК» ЕЭС в размере 513,76 тыс. руб. (3 420,86 -2 907,10), связанная с превышением фактических расходов относительно плановой величины расходов, подлежала возмещению при корректировке НВВ ООО «НГСК» и тарифа на 2023 год. Указанная корректировка была произведена с учетом индексов потребительских цен по формуле 3 Методических указаний № 98-э в размере 620,29 тыс. руб.</w:t>
      </w:r>
      <w:r w:rsidRPr="00B806A7">
        <w:rPr>
          <w:rFonts w:ascii="Times New Roman" w:eastAsia="Times New Roman" w:hAnsi="Times New Roman"/>
          <w:sz w:val="24"/>
          <w:szCs w:val="24"/>
          <w:lang w:eastAsia="ru-RU"/>
        </w:rPr>
        <w:t xml:space="preserve"> (</w:t>
      </w:r>
      <w:r w:rsidRPr="00B806A7">
        <w:rPr>
          <w:rFonts w:ascii="Times New Roman" w:eastAsia="Times New Roman" w:hAnsi="Times New Roman"/>
          <w:bCs/>
          <w:iCs/>
          <w:color w:val="000000"/>
          <w:sz w:val="24"/>
          <w:szCs w:val="24"/>
          <w:lang w:eastAsia="ru-RU"/>
        </w:rPr>
        <w:t>513,76*1,139*1,06).</w:t>
      </w:r>
      <w:r w:rsidRPr="00B806A7">
        <w:rPr>
          <w:rFonts w:ascii="Times New Roman" w:eastAsia="Times New Roman" w:hAnsi="Times New Roman"/>
          <w:bCs/>
          <w:iCs/>
          <w:color w:val="000000"/>
          <w:sz w:val="24"/>
          <w:szCs w:val="24"/>
          <w:lang w:eastAsia="ru-RU"/>
        </w:rPr>
        <w:tab/>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
          <w:bCs/>
          <w:iCs/>
          <w:color w:val="000000"/>
          <w:sz w:val="24"/>
          <w:szCs w:val="24"/>
          <w:lang w:eastAsia="ru-RU"/>
        </w:rPr>
        <w:t>Расходы по аренде имущества</w:t>
      </w:r>
      <w:r w:rsidRPr="00B806A7">
        <w:rPr>
          <w:rFonts w:ascii="Times New Roman" w:eastAsia="Times New Roman" w:hAnsi="Times New Roman"/>
          <w:bCs/>
          <w:iCs/>
          <w:color w:val="000000"/>
          <w:sz w:val="24"/>
          <w:szCs w:val="24"/>
          <w:lang w:eastAsia="ru-RU"/>
        </w:rPr>
        <w:t xml:space="preserve"> по факту составили 82 151,59 тыс. руб. с ростом относительно плановой величины на 21 044,94 тыс. руб., за счет:</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увеличения расходов по аренде офиса, помещений, земли на 2 548,032 тыс. руб., обусловленное увеличением площади арендуемых помещений на основании новых договоров аренды, заключенных ООО «НГСК» со следующими контрагентами: ИП Рожков  (№ 12 от 01.10.2021),</w:t>
      </w:r>
      <w:r w:rsidRPr="00B806A7">
        <w:rPr>
          <w:rFonts w:ascii="Times New Roman" w:eastAsia="Times New Roman" w:hAnsi="Times New Roman"/>
          <w:sz w:val="24"/>
          <w:szCs w:val="24"/>
          <w:lang w:eastAsia="ru-RU"/>
        </w:rPr>
        <w:t xml:space="preserve"> ООО «СтройТехМонтаж» (договор аренды нежилого помещения № 01-20 от 01.12.2020)</w:t>
      </w:r>
      <w:r w:rsidRPr="00B806A7">
        <w:rPr>
          <w:rFonts w:ascii="Times New Roman" w:eastAsia="Times New Roman" w:hAnsi="Times New Roman"/>
          <w:bCs/>
          <w:iCs/>
          <w:color w:val="000000"/>
          <w:sz w:val="24"/>
          <w:szCs w:val="24"/>
          <w:lang w:eastAsia="ru-RU"/>
        </w:rPr>
        <w:t>, а также заключением договора субаренды земельного участка с</w:t>
      </w:r>
      <w:r w:rsidRPr="00B806A7">
        <w:rPr>
          <w:rFonts w:ascii="Times New Roman" w:eastAsia="Times New Roman" w:hAnsi="Times New Roman"/>
          <w:sz w:val="24"/>
          <w:szCs w:val="24"/>
          <w:lang w:eastAsia="ru-RU"/>
        </w:rPr>
        <w:t xml:space="preserve"> АО Завод сборного железобетона № 6» (договор субаренды части земельного участка № 132952-01 от 09.03.2021)</w:t>
      </w:r>
      <w:r w:rsidRPr="00B806A7">
        <w:rPr>
          <w:rFonts w:ascii="Times New Roman" w:eastAsia="Times New Roman" w:hAnsi="Times New Roman"/>
          <w:bCs/>
          <w:iCs/>
          <w:color w:val="000000"/>
          <w:sz w:val="24"/>
          <w:szCs w:val="24"/>
          <w:lang w:eastAsia="ru-RU"/>
        </w:rPr>
        <w:t>,</w:t>
      </w:r>
      <w:r w:rsidRPr="00B806A7">
        <w:rPr>
          <w:rFonts w:ascii="Times New Roman" w:eastAsia="Times New Roman" w:hAnsi="Times New Roman"/>
          <w:sz w:val="24"/>
          <w:szCs w:val="24"/>
          <w:lang w:eastAsia="ru-RU"/>
        </w:rPr>
        <w:t xml:space="preserve"> </w:t>
      </w:r>
      <w:r w:rsidRPr="00B806A7">
        <w:rPr>
          <w:rFonts w:ascii="Times New Roman" w:eastAsia="Times New Roman" w:hAnsi="Times New Roman"/>
          <w:bCs/>
          <w:iCs/>
          <w:color w:val="000000"/>
          <w:sz w:val="24"/>
          <w:szCs w:val="24"/>
          <w:lang w:eastAsia="ru-RU"/>
        </w:rPr>
        <w:t>расходы по которым не учитывались в тарифно-балансовом решении на 2021 год;</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xml:space="preserve"> - увеличения расходов по аренде объектов электросетевого хозяйства на 15530,292 тыс. руб. в связи с заключением новых договоров аренды, расходы по которым не учитывались в тарифно-балансовом решении на 2021 год, а также из-за стоимости арендной платы, предусмотренной договорами аренды (по ряду договоров), которая была признана департаментом экономически необоснованной, поскольку не соответствовала требованиям                 п. 27 и пп. 5 п. 28 Основ ценообразования;</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наличия расходов по аренде прочего имущества в размере 2 667,838 тыс. руб., затраты по которым не учитывались департаментом в составе НВВ ООО «НГСК» на 2021 год, поскольку не заявлялись организацией.</w:t>
      </w:r>
    </w:p>
    <w:p w:rsidR="005D0F08" w:rsidRPr="00B806A7" w:rsidRDefault="005D0F08" w:rsidP="005D0F08">
      <w:pPr>
        <w:spacing w:after="0" w:line="240" w:lineRule="auto"/>
        <w:ind w:firstLine="709"/>
        <w:jc w:val="both"/>
        <w:rPr>
          <w:rFonts w:ascii="Times New Roman" w:eastAsia="Times New Roman" w:hAnsi="Times New Roman"/>
          <w:sz w:val="24"/>
          <w:szCs w:val="20"/>
          <w:lang w:eastAsia="ru-RU"/>
        </w:rPr>
      </w:pPr>
      <w:r w:rsidRPr="00B806A7">
        <w:rPr>
          <w:rFonts w:ascii="Times New Roman" w:eastAsia="Times New Roman" w:hAnsi="Times New Roman"/>
          <w:sz w:val="24"/>
          <w:szCs w:val="20"/>
          <w:lang w:eastAsia="ru-RU"/>
        </w:rPr>
        <w:t xml:space="preserve">- наличия расходов, связанных с компенсацией ряду сотрудников организации за использование личных автомобилей для служебных поездок, из расчета 2000 руб. в месяц на основании заключенных дополнительных соглашений к трудовым договорам сотрудникам организации, сложившиеся в размере 298,78 тыс. руб.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В обоснование указанных расходов ООО «НГСК» представлены действующие договоры аренды в 2021 году, акты сдачи-приемки и счета-фактуры к ним, первичные документы бухгалтерского учета, подтверждающие начисление амортизации, а также налоговые декларации за 2021 год.</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Департаментом дополнительно проведен анализ указанных документов на предмет соответствия требованиям п. 27, п.п. 5 п. 28, п. 29 Основ ценообразования.</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Закупочные процедуры, по результатам которых ООО «НГСК» были заключены договоры аренды (субаренды) офисных помещений, № 1 Ар от 11.12.2019 года и от 01.10.2020, 01-20 от 01.12.2020, № 12 от 01.10.2021, а также земельного участка № 132952-01 от 09.03.2021 были проведены в соответствии с Положением о порядке проведения закупок товаров, работ и услуг ООО «НГСК» (закупка у единственного поставщика (исполнителя, подрядчика)).</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Учитывая, что указанные закупки являются неконкурентными, они не соответствует требованиям п. 29 Основ ценообразования. В связи с чем департаментом при оценке экономической обоснованности указанных расходов в части стоимости арендной платы применялся сравнительный анализ рыночной стоимости офисных помещений, земельных участков в 2021 году. Установлено, что стоимость арендной платы по вышеуказанным договорам аренды (субаренды), представленным ООО «НГСК» в обоснование расходов по арендной плате офисных помещений и земельных участков, не превышают среднюю рыночную стоимость офисных помещений и земельных участков в городе Новосибирске в 2021 году.</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Вместе с тем, в отсутствие обоснования необходимости по заключению договора аренды нежилого помещения 01-20 от 01.12.2020 фактически понесенные расходы ООО «НГСК» в 2021 году в размере 2 400,0 тыс. руб. были признаны департаментом экономически необоснованными.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Таким образом, специалистом департамента было признано превышение расходов относительно плановой величины, предусмотренной в составе НВВ и тарифов ООО «НГСК» на 2021 год, в связи с заключением организацией новых договоров аренды (субаренды) по объективным причинам (в т.ч. за счет увеличения численности персонала в связи с существенным приростом у.е. обслуживаемых объектов электросетевого хозяйства,), рассчитанное исходя из фактически понесенных расходов ООО «НГСК» в 2021 году и подтвержденных документально, в том числе стоимости величины арендной платы: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офиса по договору № 12 от 01.10.2021 в размере 270,0 тыс. руб. (495*181,8*3);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части земельного участка под ТП по договору № 132952-01 от 09.03.2021 в размере 8 174 тыс. руб.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При оценке анализа экономической обоснованности фактических расходов на аренду объектов электросетевого хозяйства специалистом департамента были проанализированы предоставленные бухгалтерские документы, налоговые декларации и другие документы, подтверждающие начисление собственниками амортизации, уплату налогов и других обязательных платежей, предусмотренных законодательством Российской Федерации.</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Вместе с тем расходы на аренду объектов электросетевого хозяйства департаментом признаны экономически обоснованными в соответствии с требованиями п. 27 пп. 5 п. 28 Основ ценообразования в размере 56 638,740 тыс. руб. исключительно только по объектам электросетевого хозяйства, учтенным департаментом в тарифно-балансовом решении на 2021 год, в отношении которых ООО «НГСК» заключен с АО «РЭС» договор на оказание услуг по передаче электрической энергии на основании требований п. 17 Правил № 1178; сокращение от плановой величины расходов составило 1 591,750 тыс. руб.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Расходы по аренде прочего имущества в размере 2 667,838 тыс. руб., фактически понесенные и отнесенные ООО «НГСК» на деятельность по передаче электрической энергии в 2021 году, в связи с непредоставлением ООО «НГСК» документов были признаны департаментом экономически необоснованными на основании требований пп.5 п. 28 и п. 29 Основ ценообразования.</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Расходы, связанные с компенсацией ряду сотрудников организации за использование личных автомобилей для служебных поездок, из расчета 2000 руб. в месяц на основании заключенных дополнительных соглашений к трудовым договорам сотрудникам организации, сложившиеся в размере 298,78 тыс. руб. также были признаны департаментом экономически необоснованными по данной статье расходов, поскольку квалифицируются как расходы на компенсацию за использование для служебных поездок личных легковых автомобилей и относятся к прочим расходам организации (п.п. 11 п.1 ст 264 НК РФ), т.е. не связаны с арендой имущества, а следовательно не подлежали возмещению при корректировке НВВ ОООО «НГСК» на 2023 год.</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результате департаментом признаны экономически обоснованными расходы по арендной плате в размере 59 793,074 тыс. руб.; общая сумма корректировки расходов по арендной плате в ценах 2021 года на основании формулы 7 Методических указаний № 98-э составит 1 313,576 тыс. руб. (59 793,074 - 61 106,65)  (-∆НВВ).</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На основании требований формулы 3 Методических указаний № 98-э указанная сумма корректировки, подлежащая учету в составе НВВ ООО «НГСК» на 2023 год, рассчитана с учетом индексов потребительских цен: 1 313,576 *1,139 *1,06 = 1 585,93 тыс. руб. (-∆НВВ).</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
          <w:bCs/>
          <w:iCs/>
          <w:color w:val="000000"/>
          <w:sz w:val="24"/>
          <w:szCs w:val="24"/>
          <w:lang w:eastAsia="ru-RU"/>
        </w:rPr>
        <w:t>Расходы на амортизационные отчисления</w:t>
      </w:r>
      <w:r w:rsidRPr="00B806A7">
        <w:rPr>
          <w:rFonts w:ascii="Times New Roman" w:eastAsia="Times New Roman" w:hAnsi="Times New Roman"/>
          <w:bCs/>
          <w:iCs/>
          <w:color w:val="000000"/>
          <w:sz w:val="24"/>
          <w:szCs w:val="24"/>
          <w:lang w:eastAsia="ru-RU"/>
        </w:rPr>
        <w:t xml:space="preserve"> за 2021 год составили 3 017, 939 тыс. руб., с ростом относительно плановой величины на 3 009,37 тыс. руб.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
          <w:iCs/>
          <w:color w:val="000000"/>
          <w:sz w:val="24"/>
          <w:szCs w:val="24"/>
          <w:lang w:eastAsia="ru-RU"/>
        </w:rPr>
      </w:pPr>
      <w:r w:rsidRPr="00B806A7">
        <w:rPr>
          <w:rFonts w:ascii="Times New Roman" w:eastAsia="Times New Roman" w:hAnsi="Times New Roman"/>
          <w:bCs/>
          <w:iCs/>
          <w:color w:val="000000"/>
          <w:sz w:val="24"/>
          <w:szCs w:val="24"/>
          <w:lang w:eastAsia="ru-RU"/>
        </w:rPr>
        <w:t>Согласно экспертному заключению на 2023 год: «</w:t>
      </w:r>
      <w:r w:rsidRPr="00B806A7">
        <w:rPr>
          <w:rFonts w:ascii="Times New Roman" w:eastAsia="Times New Roman" w:hAnsi="Times New Roman"/>
          <w:bCs/>
          <w:i/>
          <w:iCs/>
          <w:color w:val="000000"/>
          <w:sz w:val="24"/>
          <w:szCs w:val="24"/>
          <w:lang w:eastAsia="ru-RU"/>
        </w:rPr>
        <w:t>В обоснование фактических расходов организацией представлены ведомость амортизации за 2021 год, инвентарные карточки учета основных средств, приказы о проведении переоценки, отчет № 20727 от 31.12.2020 об оценке рыночной стоимости объектов электроснабжения, проведенный ООО «Техноцентр»; отчет № 20727_1 от 31.12.2020 об оценке рыночной стоимости объектов электроснабжения, проведенный ООО «Техноцентр»; отчет № 22018 от 31.12.2021 об оценке рыночной стоимости объектов электроснабжения, проведенный ООО «Техноцентр».</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
          <w:iCs/>
          <w:color w:val="000000"/>
          <w:sz w:val="24"/>
          <w:szCs w:val="24"/>
          <w:lang w:eastAsia="ru-RU"/>
        </w:rPr>
      </w:pPr>
      <w:r w:rsidRPr="00B806A7">
        <w:rPr>
          <w:rFonts w:ascii="Times New Roman" w:eastAsia="Times New Roman" w:hAnsi="Times New Roman"/>
          <w:bCs/>
          <w:i/>
          <w:iCs/>
          <w:color w:val="000000"/>
          <w:sz w:val="24"/>
          <w:szCs w:val="24"/>
          <w:lang w:eastAsia="ru-RU"/>
        </w:rPr>
        <w:t xml:space="preserve">По результатам экспертизы представленных материалов установлено, что начисление амортизации за 2021 год производилось в организации с учетом переоценок на основании  отчета № 20727 от 31.12.2020, отчета № 20727_1 от 31.12.2020. Переоценка произведена в отношении объектов ОС, приобретенных ООО «НГСК» по договорам купли-продажи согласно утвержденному перечню.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
          <w:iCs/>
          <w:color w:val="000000"/>
          <w:sz w:val="24"/>
          <w:szCs w:val="24"/>
          <w:lang w:eastAsia="ru-RU"/>
        </w:rPr>
      </w:pPr>
      <w:r w:rsidRPr="00B806A7">
        <w:rPr>
          <w:rFonts w:ascii="Times New Roman" w:eastAsia="Times New Roman" w:hAnsi="Times New Roman"/>
          <w:bCs/>
          <w:i/>
          <w:iCs/>
          <w:color w:val="000000"/>
          <w:sz w:val="24"/>
          <w:szCs w:val="24"/>
          <w:lang w:eastAsia="ru-RU"/>
        </w:rPr>
        <w:t xml:space="preserve">Департаментом признано экономически обоснованным фактическое превышение по расходам на амортизационные отчисления за 2021 год в размере 1 634,50 тыс. руб.: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
          <w:iCs/>
          <w:color w:val="000000"/>
          <w:sz w:val="24"/>
          <w:szCs w:val="24"/>
          <w:lang w:eastAsia="ru-RU"/>
        </w:rPr>
      </w:pPr>
      <w:r w:rsidRPr="00B806A7">
        <w:rPr>
          <w:rFonts w:ascii="Times New Roman" w:eastAsia="Times New Roman" w:hAnsi="Times New Roman"/>
          <w:bCs/>
          <w:i/>
          <w:iCs/>
          <w:color w:val="000000"/>
          <w:sz w:val="24"/>
          <w:szCs w:val="24"/>
          <w:lang w:eastAsia="ru-RU"/>
        </w:rPr>
        <w:t>-на основании документов, подтверждающих государственную регистрацию объектов недвижимого имущества - выписок из Единого государственного реестра недвижимости об основных характеристиках и зарегистрированных правах на каждый объект недвижимости;</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
          <w:iCs/>
          <w:color w:val="000000"/>
          <w:sz w:val="24"/>
          <w:szCs w:val="24"/>
          <w:lang w:eastAsia="ru-RU"/>
        </w:rPr>
      </w:pPr>
      <w:r w:rsidRPr="00B806A7">
        <w:rPr>
          <w:rFonts w:ascii="Times New Roman" w:eastAsia="Times New Roman" w:hAnsi="Times New Roman"/>
          <w:bCs/>
          <w:i/>
          <w:iCs/>
          <w:color w:val="000000"/>
          <w:sz w:val="24"/>
          <w:szCs w:val="24"/>
          <w:lang w:eastAsia="ru-RU"/>
        </w:rPr>
        <w:t>-представленных заключений кадастровых инженеров в отношении ряда объектов электросетевого хозяйства о невозможности их отнесения к объектам недвижимого имущества;</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
          <w:iCs/>
          <w:color w:val="000000"/>
          <w:sz w:val="24"/>
          <w:szCs w:val="24"/>
          <w:lang w:eastAsia="ru-RU"/>
        </w:rPr>
      </w:pPr>
      <w:r w:rsidRPr="00B806A7">
        <w:rPr>
          <w:rFonts w:ascii="Times New Roman" w:eastAsia="Times New Roman" w:hAnsi="Times New Roman"/>
          <w:bCs/>
          <w:i/>
          <w:iCs/>
          <w:color w:val="000000"/>
          <w:sz w:val="24"/>
          <w:szCs w:val="24"/>
          <w:lang w:eastAsia="ru-RU"/>
        </w:rPr>
        <w:t xml:space="preserve">-переоценки в отношении объектов основных средств, расходы на амортизацию которых являются источником финансирования мероприятий утвержденной в установленном порядке инвестиционной требований (п.32 Основ ценообразования).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Необходимо отметить, что превышение по расходам на амортизационные отчисления учтено департаментом, главным образом, в отношении построенных в рамках строительства последней мили объектов электросетевого хозяйства, в том числе подтвержденных первичными документами бухгалтерского учета (счета-фактуры, КС, договоры подряда). Следовательно, расходы по амортизационным отчислениям на объекты электросетевого хозяйства, приобретенные по договорам купли-продажи,  в отношении которых, отсутствовал договор на оказание услуг по передаче электрической энергии,  заключенный с АО «РЭС» (требование п.п. 13 п.17 Правил № 1178), при установлении НВВ ООО «НГСК» на 2021 год признаны департаментом экономически необоснованными.</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xml:space="preserve"> При расчете амортизационных отчислений объектов электросетевого хозяйства на 2021 год учтены СПИ, соответствующие СПИ, установленным Классификатором, а именно: по КТПН и оборудованию ТП ООО «НГСК» отнесено к седьмой группе, СПИ -240 месяцев, по КЛ - отнесено к шестой группе, СПИ -180 месяцев.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С учетом вышеизложенного, специалистом департамента было признано превышение расходов относительно плановой величины, предусмотренной в составе НВВ и тарифов ООО «НГСК» на 2021 год в размере 1 634,50 тыс. руб.</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С учетом индексации сумма корректировки составила 1 973,40 тыс. руб. (1 634,50 *1,139 *1,06).</w:t>
      </w:r>
      <w:r w:rsidRPr="00B806A7">
        <w:rPr>
          <w:rFonts w:ascii="Times New Roman" w:eastAsia="Times New Roman" w:hAnsi="Times New Roman"/>
          <w:bCs/>
          <w:iCs/>
          <w:color w:val="000000"/>
          <w:sz w:val="24"/>
          <w:szCs w:val="24"/>
          <w:lang w:eastAsia="ru-RU"/>
        </w:rPr>
        <w:tab/>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
          <w:bCs/>
          <w:iCs/>
          <w:color w:val="000000"/>
          <w:sz w:val="24"/>
          <w:szCs w:val="24"/>
          <w:lang w:eastAsia="ru-RU"/>
        </w:rPr>
        <w:t>Расходы по налогу на имущество</w:t>
      </w:r>
      <w:r w:rsidRPr="00B806A7">
        <w:rPr>
          <w:rFonts w:ascii="Times New Roman" w:eastAsia="Times New Roman" w:hAnsi="Times New Roman"/>
          <w:bCs/>
          <w:iCs/>
          <w:color w:val="000000"/>
          <w:sz w:val="24"/>
          <w:szCs w:val="24"/>
          <w:lang w:eastAsia="ru-RU"/>
        </w:rPr>
        <w:t xml:space="preserve"> по факту составили 100,218 тыс. руб.</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xml:space="preserve">В обоснование расходов организацией представлены налоговые декларации за 2021 год.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При формировании (корректировке) НВВ ООО «НГСК» на 2021 год департаментом не учитывались расходы по налогу на имущество, поскольку не заявлялись организацией.</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xml:space="preserve">По результатам анализа расчета налога на имущество департаментом установлено, что налог был начислен в отношении объектов электросетевого хозяйства, построенных в рамках технологического присоединения, а также приобретенных ООО «НГСК» по договорам купли-продажи, не вошедшим в тарифно-балансовое решение на 2021 год.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xml:space="preserve">При формировании (корректировке) НВВ ООО «НГСК» на 2023 год департаментом учтены выпадающие доходы, связанные с уплатой налога на имущество в 2021 году, в размере 49,63 тыс. руб. только в отношении объектов электросетевого хозяйства, учтенных департаментом в тарифно-балансовом решении на 2021 год.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С учетом индексации сумма корректировки составила 59,92 тыс. руб. (49,63*1,139 *1,06).</w:t>
      </w:r>
      <w:r w:rsidRPr="00B806A7">
        <w:rPr>
          <w:rFonts w:ascii="Times New Roman" w:eastAsia="Times New Roman" w:hAnsi="Times New Roman"/>
          <w:bCs/>
          <w:iCs/>
          <w:color w:val="000000"/>
          <w:sz w:val="24"/>
          <w:szCs w:val="24"/>
          <w:lang w:eastAsia="ru-RU"/>
        </w:rPr>
        <w:tab/>
      </w:r>
    </w:p>
    <w:p w:rsidR="005D0F08" w:rsidRPr="00B806A7" w:rsidRDefault="005D0F08" w:rsidP="005D0F08">
      <w:pPr>
        <w:spacing w:after="0" w:line="240" w:lineRule="auto"/>
        <w:ind w:firstLine="709"/>
        <w:jc w:val="both"/>
        <w:rPr>
          <w:rFonts w:ascii="Times New Roman" w:eastAsia="Times New Roman" w:hAnsi="Times New Roman"/>
          <w:sz w:val="24"/>
          <w:szCs w:val="20"/>
          <w:lang w:eastAsia="ru-RU"/>
        </w:rPr>
      </w:pPr>
      <w:r w:rsidRPr="00B806A7">
        <w:rPr>
          <w:rFonts w:ascii="Times New Roman" w:eastAsia="Times New Roman" w:hAnsi="Times New Roman"/>
          <w:b/>
          <w:sz w:val="24"/>
          <w:szCs w:val="20"/>
          <w:lang w:eastAsia="ru-RU"/>
        </w:rPr>
        <w:t>Расходы по статье «Тепловая энергия»</w:t>
      </w:r>
      <w:r w:rsidRPr="00B806A7">
        <w:rPr>
          <w:rFonts w:ascii="Times New Roman" w:eastAsia="Times New Roman" w:hAnsi="Times New Roman"/>
          <w:sz w:val="24"/>
          <w:szCs w:val="20"/>
          <w:lang w:eastAsia="ru-RU"/>
        </w:rPr>
        <w:t xml:space="preserve"> по факту составили 32,31 тыс. руб., что ниже плана на -9,66 тыс. руб. (23,02%). Сокращение расходов произошло за счет снижения объема потребления тепловой энергии.</w:t>
      </w:r>
    </w:p>
    <w:p w:rsidR="005D0F08" w:rsidRPr="00B806A7" w:rsidRDefault="005D0F08" w:rsidP="005D0F08">
      <w:pPr>
        <w:spacing w:after="0" w:line="240" w:lineRule="auto"/>
        <w:ind w:firstLine="709"/>
        <w:jc w:val="both"/>
        <w:rPr>
          <w:rFonts w:ascii="Times New Roman" w:eastAsia="Times New Roman" w:hAnsi="Times New Roman"/>
          <w:sz w:val="24"/>
          <w:szCs w:val="20"/>
          <w:lang w:eastAsia="ru-RU"/>
        </w:rPr>
      </w:pPr>
      <w:r w:rsidRPr="00B806A7">
        <w:rPr>
          <w:rFonts w:ascii="Times New Roman" w:eastAsia="Times New Roman" w:hAnsi="Times New Roman"/>
          <w:sz w:val="24"/>
          <w:szCs w:val="20"/>
          <w:lang w:eastAsia="ru-RU"/>
        </w:rPr>
        <w:t>В обоснование расходов организацией представлены первичные документы бухгалтерского учета (счета-фактуры).</w:t>
      </w:r>
    </w:p>
    <w:p w:rsidR="005D0F08" w:rsidRPr="00B806A7" w:rsidRDefault="005D0F08" w:rsidP="005D0F08">
      <w:pPr>
        <w:spacing w:after="0" w:line="240" w:lineRule="auto"/>
        <w:ind w:firstLine="709"/>
        <w:jc w:val="both"/>
        <w:rPr>
          <w:rFonts w:ascii="Times New Roman" w:eastAsia="Times New Roman" w:hAnsi="Times New Roman"/>
          <w:sz w:val="24"/>
          <w:szCs w:val="20"/>
          <w:lang w:eastAsia="ru-RU"/>
        </w:rPr>
      </w:pPr>
      <w:r w:rsidRPr="00B806A7">
        <w:rPr>
          <w:rFonts w:ascii="Times New Roman" w:eastAsia="Times New Roman" w:hAnsi="Times New Roman"/>
          <w:sz w:val="24"/>
          <w:szCs w:val="20"/>
          <w:lang w:eastAsia="ru-RU"/>
        </w:rPr>
        <w:t xml:space="preserve">По результатам проведенного департаментом анализа фактически понесенные расходы по тепловой энергии признаны департаментом экономически обоснованными в размере 32,31 тыс. руб. Дополнительный доход, полученный в результате недоиспользования средств в размере 9,66 тыс. руб., учтенных департаментом при формировании тарифа на 2021 год, но фактически не понесенных, в соответствии с пунктом 7 Основ ценообразования и формулой 7 Методических указаний № 98-э подлежал изъятию при корректировке необходимой валовой выручки на 2023 год. С учетом индексации сумма корректировки составила 11,67 тыс. руб. (9,66*1,139 *1,06 ).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Корректировка неподконтрольных расходов исходя из фактических значений указанного параметра в 2021 году по формуле 7 Методических указаний № 98-э, произведена следующим образом:</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1) в сторону увеличения на 2 197,90 тыс. руб. по оплате услуг ПАО «ФСК «ЕЭС», по налогу на имущество,</w:t>
      </w:r>
      <w:r w:rsidRPr="00B806A7">
        <w:rPr>
          <w:rFonts w:ascii="Times New Roman" w:eastAsia="Times New Roman" w:hAnsi="Times New Roman"/>
          <w:sz w:val="24"/>
          <w:szCs w:val="24"/>
          <w:lang w:eastAsia="ru-RU"/>
        </w:rPr>
        <w:t xml:space="preserve">  по амортизационным отчислениям;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2) в сторону снижения на -1 323,24 тыс. руб.</w:t>
      </w:r>
      <w:r w:rsidRPr="00B806A7">
        <w:rPr>
          <w:rFonts w:ascii="Times New Roman" w:eastAsia="Times New Roman" w:hAnsi="Times New Roman"/>
          <w:sz w:val="24"/>
          <w:szCs w:val="24"/>
          <w:lang w:eastAsia="ru-RU"/>
        </w:rPr>
        <w:t xml:space="preserve"> </w:t>
      </w:r>
      <w:r w:rsidRPr="00B806A7">
        <w:rPr>
          <w:rFonts w:ascii="Times New Roman" w:eastAsia="Times New Roman" w:hAnsi="Times New Roman"/>
          <w:bCs/>
          <w:iCs/>
          <w:color w:val="000000"/>
          <w:sz w:val="24"/>
          <w:szCs w:val="24"/>
          <w:lang w:eastAsia="ru-RU"/>
        </w:rPr>
        <w:t>по статье «аренда»,</w:t>
      </w:r>
      <w:r w:rsidRPr="00B806A7">
        <w:rPr>
          <w:rFonts w:ascii="Times New Roman" w:eastAsia="Times New Roman" w:hAnsi="Times New Roman"/>
          <w:sz w:val="24"/>
          <w:szCs w:val="24"/>
          <w:lang w:eastAsia="ru-RU"/>
        </w:rPr>
        <w:t xml:space="preserve"> по </w:t>
      </w:r>
      <w:r w:rsidRPr="00B806A7">
        <w:rPr>
          <w:rFonts w:ascii="Times New Roman" w:eastAsia="Times New Roman" w:hAnsi="Times New Roman"/>
          <w:bCs/>
          <w:iCs/>
          <w:color w:val="000000"/>
          <w:sz w:val="24"/>
          <w:szCs w:val="24"/>
          <w:lang w:eastAsia="ru-RU"/>
        </w:rPr>
        <w:t>тепловой энергии.</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В результате, при формировании (корректировке) НВВ ООО «НГСК» на 2023 год подлежали изъятию расходы, связанные с корректировкой неподконтрольных расходов за 2021 год,</w:t>
      </w:r>
      <w:r w:rsidRPr="00B806A7">
        <w:rPr>
          <w:rFonts w:ascii="Times New Roman" w:eastAsia="Times New Roman" w:hAnsi="Times New Roman"/>
          <w:sz w:val="24"/>
          <w:szCs w:val="24"/>
          <w:lang w:eastAsia="ru-RU"/>
        </w:rPr>
        <w:t xml:space="preserve"> рассчитанные </w:t>
      </w:r>
      <w:r w:rsidRPr="00B806A7">
        <w:rPr>
          <w:rFonts w:ascii="Times New Roman" w:eastAsia="Times New Roman" w:hAnsi="Times New Roman"/>
          <w:bCs/>
          <w:iCs/>
          <w:color w:val="000000"/>
          <w:sz w:val="24"/>
          <w:szCs w:val="24"/>
          <w:lang w:eastAsia="ru-RU"/>
        </w:rPr>
        <w:t>с учетом индексации, применяемой по формуле 3 Методических указаний  № 98-э, в суммарном размере 1 056,01 тыс. руб. (–∆НВВ на 2023 год)</w:t>
      </w:r>
      <w:r w:rsidRPr="00B806A7">
        <w:rPr>
          <w:rFonts w:ascii="Times New Roman" w:eastAsia="Times New Roman" w:hAnsi="Times New Roman"/>
          <w:sz w:val="24"/>
          <w:szCs w:val="24"/>
          <w:lang w:eastAsia="ru-RU"/>
        </w:rPr>
        <w:t xml:space="preserve"> (</w:t>
      </w:r>
      <w:r w:rsidRPr="00B806A7">
        <w:rPr>
          <w:rFonts w:ascii="Times New Roman" w:eastAsia="Times New Roman" w:hAnsi="Times New Roman"/>
          <w:bCs/>
          <w:iCs/>
          <w:color w:val="000000"/>
          <w:sz w:val="24"/>
          <w:szCs w:val="24"/>
          <w:lang w:eastAsia="ru-RU"/>
        </w:rPr>
        <w:t>513,76+1 634,50+49,63-9,66-1 313,58)*</w:t>
      </w:r>
      <w:r w:rsidRPr="00B806A7">
        <w:rPr>
          <w:rFonts w:ascii="Times New Roman" w:eastAsia="Times New Roman" w:hAnsi="Times New Roman"/>
          <w:sz w:val="24"/>
          <w:szCs w:val="24"/>
          <w:lang w:eastAsia="ru-RU"/>
        </w:rPr>
        <w:t xml:space="preserve"> </w:t>
      </w:r>
      <w:r w:rsidRPr="00B806A7">
        <w:rPr>
          <w:rFonts w:ascii="Times New Roman" w:eastAsia="Times New Roman" w:hAnsi="Times New Roman"/>
          <w:bCs/>
          <w:iCs/>
          <w:color w:val="000000"/>
          <w:sz w:val="24"/>
          <w:szCs w:val="24"/>
          <w:lang w:eastAsia="ru-RU"/>
        </w:rPr>
        <w:t>1,139 *1,06.</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xml:space="preserve">Таким образом, произведенная корректировка неподконтрольных расходов выполнена исходя из фактических расходов, подтвержденных ООО «НГСК» документально, с соблюдением формул Методических указаний 98-э. </w:t>
      </w:r>
    </w:p>
    <w:p w:rsidR="000E0129" w:rsidRPr="00B806A7" w:rsidRDefault="000E0129" w:rsidP="005D0F08">
      <w:pPr>
        <w:autoSpaceDE w:val="0"/>
        <w:autoSpaceDN w:val="0"/>
        <w:adjustRightInd w:val="0"/>
        <w:spacing w:after="0" w:line="240" w:lineRule="auto"/>
        <w:ind w:firstLine="709"/>
        <w:jc w:val="both"/>
        <w:rPr>
          <w:rFonts w:ascii="Times New Roman" w:eastAsia="Times New Roman" w:hAnsi="Times New Roman"/>
          <w:b/>
          <w:bCs/>
          <w:iCs/>
          <w:color w:val="000000"/>
          <w:sz w:val="24"/>
          <w:szCs w:val="24"/>
          <w:lang w:eastAsia="ru-RU"/>
        </w:rPr>
      </w:pPr>
      <w:r w:rsidRPr="00B806A7">
        <w:rPr>
          <w:rFonts w:ascii="Times New Roman" w:eastAsia="Times New Roman" w:hAnsi="Times New Roman"/>
          <w:b/>
          <w:bCs/>
          <w:iCs/>
          <w:color w:val="000000"/>
          <w:sz w:val="24"/>
          <w:szCs w:val="24"/>
          <w:lang w:eastAsia="ru-RU"/>
        </w:rPr>
        <w:t>С учетом пересмотра корректировки арендной платы объектов электросетевого хозяйства за 2021 год подлежат изъятию необоснованные расходы в составе НВВ ООО «НГСК на 2025 год в размере -90 060,79 руб., с учетом индексации составят (-</w:t>
      </w:r>
      <w:r w:rsidR="00C10E0B" w:rsidRPr="00B806A7">
        <w:rPr>
          <w:rFonts w:ascii="Times New Roman" w:eastAsia="Times New Roman" w:hAnsi="Times New Roman"/>
          <w:b/>
          <w:bCs/>
          <w:iCs/>
          <w:color w:val="000000"/>
          <w:sz w:val="24"/>
          <w:szCs w:val="24"/>
          <w:lang w:eastAsia="ru-RU"/>
        </w:rPr>
        <w:t>128 948,19</w:t>
      </w:r>
      <w:r w:rsidRPr="00B806A7">
        <w:rPr>
          <w:rFonts w:ascii="Times New Roman" w:eastAsia="Times New Roman" w:hAnsi="Times New Roman"/>
          <w:b/>
          <w:bCs/>
          <w:iCs/>
          <w:color w:val="000000"/>
          <w:sz w:val="24"/>
          <w:szCs w:val="24"/>
          <w:lang w:eastAsia="ru-RU"/>
        </w:rPr>
        <w:t xml:space="preserve">) руб.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u w:val="single"/>
          <w:lang w:eastAsia="ru-RU"/>
        </w:rPr>
      </w:pPr>
      <w:r w:rsidRPr="00B806A7">
        <w:rPr>
          <w:rFonts w:ascii="Times New Roman" w:eastAsia="Times New Roman" w:hAnsi="Times New Roman"/>
          <w:bCs/>
          <w:iCs/>
          <w:color w:val="000000"/>
          <w:sz w:val="24"/>
          <w:szCs w:val="24"/>
          <w:u w:val="single"/>
          <w:lang w:eastAsia="ru-RU"/>
        </w:rPr>
        <w:t>Корректировка неподконтрольных расходов за 2022 год</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
          <w:bCs/>
          <w:iCs/>
          <w:color w:val="000000"/>
          <w:sz w:val="24"/>
          <w:szCs w:val="24"/>
          <w:lang w:eastAsia="ru-RU"/>
        </w:rPr>
        <w:t>Расходы на оплату услуг ПАО «ФСК» ЕЭС</w:t>
      </w:r>
      <w:r w:rsidRPr="00B806A7">
        <w:rPr>
          <w:rFonts w:ascii="Times New Roman" w:eastAsia="Times New Roman" w:hAnsi="Times New Roman"/>
          <w:bCs/>
          <w:iCs/>
          <w:color w:val="000000"/>
          <w:sz w:val="24"/>
          <w:szCs w:val="24"/>
          <w:lang w:eastAsia="ru-RU"/>
        </w:rPr>
        <w:t xml:space="preserve"> по факту 2022 года составили 4 283 тыс. руб. с ростом к плану на 1155 тыс. руб.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xml:space="preserve">В обоснование расходов представлены договор, заключенный с ПАО «ФСК ЕЭС»; счет-фактуры за 2022 год.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xml:space="preserve">Таким образом, департаментом были признаны экономически обоснованными расходы на оплату услуг ПАО «ФСК ЕЭС» за 2022 год, подтвержденные документально, в размере                 4 283 тыс. руб.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В соответствии с формулой 7 Методических указаний № 98-э корректировка расходов на оплату услуг ПАО «ФСК» ЕЭС в размере 1155 тыс. руб. (4283 - 3128), связанная с превышением фактических расходов относительно плановой величины расходов, подлежала возмещению при корректировке НВВ ООО «НГСК» на 2024 год. Указанная корректировка была произведена с учетом индексов потребительских цен по формуле 3 Методических указаний № 98-э в размере 1 310,19 тыс. руб. (1155*1,058*1,072).</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
          <w:bCs/>
          <w:iCs/>
          <w:color w:val="000000"/>
          <w:sz w:val="24"/>
          <w:szCs w:val="24"/>
          <w:lang w:eastAsia="ru-RU"/>
        </w:rPr>
        <w:t>Фактические расходы по статье «Тепловая энергия» составили 82,70 тыс. руб.</w:t>
      </w:r>
      <w:r w:rsidRPr="00B806A7">
        <w:rPr>
          <w:rFonts w:ascii="Times New Roman" w:eastAsia="Times New Roman" w:hAnsi="Times New Roman"/>
          <w:bCs/>
          <w:iCs/>
          <w:color w:val="000000"/>
          <w:sz w:val="24"/>
          <w:szCs w:val="24"/>
          <w:lang w:eastAsia="ru-RU"/>
        </w:rPr>
        <w:t xml:space="preserve">, что выше плана на 39,1 тыс. руб. (+89,6%) и подтверждается карточками счета 20 и 26 по статье «Услуги коммунального хозяйства и бытового обслуживания». Увеличение расходов произошло за счет наличия расходов за потребление тепловой энергии в офисном помещении по договору аренды нежилого помещения № 12 от 01.10.2021 г., заключенному с ИП Рожков С.Л., затраты по которым не учитывались департаментом по тарифам, поскольку не заявлялись организацией на корректировку НВВ и тарифов на 2022 год.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xml:space="preserve">В обоснование расходов представлен агентский договор на оплату коммунальных услуг от 01.10.2021г. с ИП Рожков С.Л., счета на возмещение коммунальных услуг, выставленных ИП Рожков С.Л.; договор № З62600З6З2 теплоснабжения и поставки горячей воды, заключенный с ООО «НТСК, с приложением счетов-фактур АО «СИБЭКО», ООО «НТСК».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xml:space="preserve">По результатам проведенного департаментом анализа фактически понесенные организацией расходы по статье «Тепловая энергия» признаны обоснованными в размере 82,70 тыс. руб.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Выпадающие доходы в размере 39,1 тыс. руб. (82,7-</w:t>
      </w:r>
      <w:r w:rsidRPr="00B806A7">
        <w:rPr>
          <w:rFonts w:ascii="Times New Roman" w:eastAsia="Times New Roman" w:hAnsi="Times New Roman"/>
          <w:sz w:val="24"/>
          <w:szCs w:val="24"/>
          <w:lang w:eastAsia="ru-RU"/>
        </w:rPr>
        <w:t xml:space="preserve"> </w:t>
      </w:r>
      <w:r w:rsidRPr="00B806A7">
        <w:rPr>
          <w:rFonts w:ascii="Times New Roman" w:eastAsia="Times New Roman" w:hAnsi="Times New Roman"/>
          <w:bCs/>
          <w:iCs/>
          <w:color w:val="000000"/>
          <w:sz w:val="24"/>
          <w:szCs w:val="24"/>
          <w:lang w:eastAsia="ru-RU"/>
        </w:rPr>
        <w:t>43,6), связанные с увеличением расходов по данной статье затрат в соответствии с пунктом 7 Основ ценообразования и формулой 7 Методических указаний № 98-э подлежали возмещению при корректировке необходимой валовой выручки на 2024 год.</w:t>
      </w:r>
      <w:r w:rsidRPr="00B806A7">
        <w:rPr>
          <w:rFonts w:ascii="Times New Roman" w:eastAsia="Times New Roman" w:hAnsi="Times New Roman"/>
          <w:sz w:val="24"/>
          <w:szCs w:val="24"/>
          <w:lang w:eastAsia="ru-RU"/>
        </w:rPr>
        <w:t xml:space="preserve"> </w:t>
      </w:r>
      <w:r w:rsidRPr="00B806A7">
        <w:rPr>
          <w:rFonts w:ascii="Times New Roman" w:eastAsia="Times New Roman" w:hAnsi="Times New Roman"/>
          <w:bCs/>
          <w:iCs/>
          <w:color w:val="000000"/>
          <w:sz w:val="24"/>
          <w:szCs w:val="24"/>
          <w:lang w:eastAsia="ru-RU"/>
        </w:rPr>
        <w:t>Указанная корректировка была произведена с учетом индексов потребительских цен по формуле 3 Методических указаний № 98-э в размере 44,3 тыс. руб. (39,1*1,058*1,072).</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b/>
          <w:sz w:val="24"/>
          <w:szCs w:val="24"/>
          <w:lang w:eastAsia="ru-RU"/>
        </w:rPr>
        <w:t>Расходы по статье «Аренда»</w:t>
      </w:r>
      <w:r w:rsidRPr="00B806A7">
        <w:rPr>
          <w:rFonts w:ascii="Times New Roman" w:eastAsia="Times New Roman" w:hAnsi="Times New Roman"/>
          <w:i/>
          <w:sz w:val="24"/>
          <w:szCs w:val="24"/>
          <w:lang w:eastAsia="ru-RU"/>
        </w:rPr>
        <w:t xml:space="preserve"> </w:t>
      </w:r>
      <w:r w:rsidRPr="00B806A7">
        <w:rPr>
          <w:rFonts w:ascii="Times New Roman" w:eastAsia="Times New Roman" w:hAnsi="Times New Roman"/>
          <w:sz w:val="24"/>
          <w:szCs w:val="24"/>
          <w:lang w:eastAsia="ru-RU"/>
        </w:rPr>
        <w:t xml:space="preserve">по факту отнесены организацией на регулируемую деятельность в размере 106750,311 тыс. руб. с ростом относительно плана на 10 721,6 тыс.руб. (+11%), которые включают расходы по аренде объектов электросетевого хозяйства, офисного имущества, земли, прочего имущества.   </w:t>
      </w:r>
    </w:p>
    <w:p w:rsidR="005D0F08" w:rsidRPr="00B806A7" w:rsidRDefault="005D0F08" w:rsidP="005D0F08">
      <w:pPr>
        <w:spacing w:after="0" w:line="240" w:lineRule="auto"/>
        <w:ind w:left="283"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Расходы по аренде объектов электросетевого хозяйства составили 97 142, 685 тыс.руб. с ростом от плановой величины расходов на 4 979,719 тыс. руб. Перерасход средств сложился, главным образом, за счет:</w:t>
      </w:r>
    </w:p>
    <w:p w:rsidR="005D0F08" w:rsidRPr="00B806A7" w:rsidRDefault="005D0F08" w:rsidP="005D0F08">
      <w:pPr>
        <w:spacing w:after="0" w:line="240" w:lineRule="auto"/>
        <w:ind w:left="283"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наличия расходов по договорам аренды объектов электросетевого хозяйства, затраты по которым не заявлялись ООО «НГСК» на момент принятия департаментом тарифного решения на 2022 год в установленном законодательством порядке: </w:t>
      </w:r>
    </w:p>
    <w:p w:rsidR="005D0F08" w:rsidRPr="00B806A7" w:rsidRDefault="005D0F08" w:rsidP="005D0F08">
      <w:pPr>
        <w:spacing w:after="0" w:line="240" w:lineRule="auto"/>
        <w:ind w:left="283"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36-2021/А от 14.12.2021 (арендодатель) ООО «АЛЬЯНС НСК» - 3 684,282 тыс.руб., 190/А-22 от 25.07.2022 (арендодатель) МУП «Электросеть»–  608, 813 тыс.руб.;</w:t>
      </w:r>
    </w:p>
    <w:p w:rsidR="005D0F08" w:rsidRPr="00B806A7" w:rsidRDefault="005D0F08" w:rsidP="005D0F08">
      <w:pPr>
        <w:spacing w:after="0" w:line="240" w:lineRule="auto"/>
        <w:ind w:left="283"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по договору аренды объектов электросетевого хозяйства № 06-2022/А от 01.07.2022 (ООО «НЛК») на сумму 879,728 тыс. руб.; по договору аренды помещений для административно-бытовых нужд № 96-04/494-22 от 10.08.2022 (ООО «НЛК») - 115,850 тыс. руб.;</w:t>
      </w:r>
    </w:p>
    <w:p w:rsidR="005D0F08" w:rsidRPr="00B806A7" w:rsidRDefault="005D0F08" w:rsidP="005D0F08">
      <w:pPr>
        <w:spacing w:after="0" w:line="240" w:lineRule="auto"/>
        <w:ind w:left="283"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-наличия расходов по заключенным договорам с: МУП «Электросеть», ООО «РЕГИОНАЛЬНЫЕ СЕТИ» на сумму 2200 тыс. руб. (№ 32-2021/А от 28.10.2021), превышающим экономически обоснованный размер арендной платы.   </w:t>
      </w:r>
    </w:p>
    <w:p w:rsidR="005D0F08" w:rsidRPr="00B806A7" w:rsidRDefault="005D0F08" w:rsidP="005D0F08">
      <w:pPr>
        <w:spacing w:after="0" w:line="240" w:lineRule="auto"/>
        <w:ind w:left="283"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При этом, в 2022 году отсутствовали расходы по ряду договоров объектов электросетевого хозяйства, предусмотренные департаментом при формировании НВВ ООО «НГСК» на 2022 год, в виду их расторжения с ООО «Брусника» (договор №28-2021/А от 16.07.2021г. снижение на 2 590,425 тыс. руб., №34-2018/А от 03.07.2018 снижение на 696,131 тыс. руб.), а также сокращена арендная плата по ряду контрагентов относительно расходов, учтенных департаментом в тарифно-балансовом решении на 2022 год.</w:t>
      </w:r>
    </w:p>
    <w:p w:rsidR="005D0F08" w:rsidRPr="00B806A7" w:rsidRDefault="005D0F08" w:rsidP="005D0F08">
      <w:pPr>
        <w:spacing w:after="0" w:line="240" w:lineRule="auto"/>
        <w:ind w:left="283"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фактически понесенных расходов организацией представлены договоры аренды, инвентарные карточки объектов основных средств, счета-фактуры, налоговые декларации за 2022 год.</w:t>
      </w:r>
    </w:p>
    <w:p w:rsidR="005D0F08" w:rsidRPr="00B806A7" w:rsidRDefault="005D0F08" w:rsidP="005D0F08">
      <w:pPr>
        <w:spacing w:after="0" w:line="240" w:lineRule="auto"/>
        <w:ind w:left="283"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При оценке анализа экономической обоснованности фактических расходов на аренду объектов электросетевого хозяйства специалистом департамента были проанализированы предоставленные бухгалтерские документы, налоговые декларации и другие документы, подтверждающие начисление собственниками амортизации, уплату налогов и других обязательных платежей, предусмотренных законодательством Российской Федерации.</w:t>
      </w:r>
    </w:p>
    <w:p w:rsidR="005863AE" w:rsidRPr="00B806A7" w:rsidRDefault="005D0F08" w:rsidP="005863AE">
      <w:pPr>
        <w:spacing w:after="0" w:line="240" w:lineRule="auto"/>
        <w:ind w:left="283"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результатам анализа фактически понесенные расходы организацией по аренде объектов электросетевого хозяйства в 2022 году департаментом признаны экономически обоснованными расходы в размере 86 885,465 тыс. руб. исключительно только по объектам электросетевого хозяйства, учтенным департаментом в тарифно-балансовом решении на 2022 год, в отношении которых ООО «НГСК» заключен с АО «РЭС» договор на оказание услуг по передаче электрической энергии на основании требований п. 17 Правил № 1178.</w:t>
      </w:r>
    </w:p>
    <w:p w:rsidR="005D0F08" w:rsidRPr="00B806A7" w:rsidRDefault="005D0F08" w:rsidP="005863AE">
      <w:pPr>
        <w:spacing w:after="0" w:line="240" w:lineRule="auto"/>
        <w:ind w:left="283"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Экономически необоснованные доходы, полученные за 2022 год в размере 5 161,650 тыс.</w:t>
      </w:r>
      <w:r w:rsidR="005863AE" w:rsidRPr="00B806A7">
        <w:rPr>
          <w:rFonts w:ascii="Times New Roman" w:eastAsia="Times New Roman" w:hAnsi="Times New Roman"/>
          <w:sz w:val="24"/>
          <w:szCs w:val="24"/>
          <w:lang w:eastAsia="ru-RU"/>
        </w:rPr>
        <w:t xml:space="preserve"> </w:t>
      </w:r>
      <w:r w:rsidRPr="00B806A7">
        <w:rPr>
          <w:rFonts w:ascii="Times New Roman" w:eastAsia="Times New Roman" w:hAnsi="Times New Roman"/>
          <w:sz w:val="24"/>
          <w:szCs w:val="24"/>
          <w:lang w:eastAsia="ru-RU"/>
        </w:rPr>
        <w:t>руб., в связи с недоиспользованием указанных средств, сложившихся факту 2022 года,</w:t>
      </w:r>
      <w:r w:rsidR="005863AE" w:rsidRPr="00B806A7">
        <w:rPr>
          <w:rFonts w:ascii="Times New Roman" w:eastAsia="Times New Roman" w:hAnsi="Times New Roman"/>
          <w:sz w:val="24"/>
          <w:szCs w:val="24"/>
          <w:lang w:eastAsia="ru-RU"/>
        </w:rPr>
        <w:t xml:space="preserve"> </w:t>
      </w:r>
      <w:r w:rsidRPr="00B806A7">
        <w:rPr>
          <w:rFonts w:ascii="Times New Roman" w:eastAsia="Times New Roman" w:hAnsi="Times New Roman"/>
          <w:sz w:val="24"/>
          <w:szCs w:val="24"/>
          <w:lang w:eastAsia="ru-RU"/>
        </w:rPr>
        <w:t>подлежали изъятию при корректировке тарифов на 2024 год в соответствии с п. 7 Основ ценообразования и п. 11 Методических указаний № 98-э (-∆НВВ).</w:t>
      </w:r>
    </w:p>
    <w:p w:rsidR="005D0F08" w:rsidRPr="00B806A7" w:rsidRDefault="005D0F08" w:rsidP="005D0F08">
      <w:pPr>
        <w:spacing w:after="0" w:line="240" w:lineRule="auto"/>
        <w:ind w:left="283"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По аренде помещений здания (офиса) земли фактические расходы составили 3 942,405 тыс. руб.</w:t>
      </w:r>
    </w:p>
    <w:p w:rsidR="005D0F08" w:rsidRPr="00B806A7" w:rsidRDefault="005D0F08" w:rsidP="005D0F08">
      <w:pPr>
        <w:spacing w:after="120" w:line="240" w:lineRule="auto"/>
        <w:ind w:left="283"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 обоснование фактических расходов организацией представлены следующие документы: договор аренды, заключенный с ООО «СтройТехМонтаж», (расходы не учитывались при планировании, поскольку не заявлялись организацией), договоров: аренды нежилого помещения 01-20 от 01.12.2020 -1800,0 тыс.руб.; аренды склада № В226/369,6-10 от 12.09.2022г. 600,0 тыс.руб.; аренды № ЗУ/1 земельного участка от 01.01.2022г. – 450,0 тыс. руб.</w:t>
      </w:r>
    </w:p>
    <w:p w:rsidR="005D0F08" w:rsidRPr="00B806A7" w:rsidRDefault="005D0F08" w:rsidP="005D0F08">
      <w:pPr>
        <w:spacing w:after="0" w:line="240" w:lineRule="auto"/>
        <w:ind w:left="283"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 с  ИП Рожков от 01.10.2021 на сумму 1 080,0 тыс.руб. (договор аренды нежилых помещений для целей офиса) на уровне плановой величины расходов; </w:t>
      </w:r>
    </w:p>
    <w:p w:rsidR="005D0F08" w:rsidRPr="00B806A7" w:rsidRDefault="005D0F08" w:rsidP="005D0F08">
      <w:pPr>
        <w:spacing w:after="0" w:line="240" w:lineRule="auto"/>
        <w:ind w:left="283"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с АО Завод сборного железобетона № 6 (договор субаренды части земельного участка № 132952-01 от 09.03.2021 для размещения ТП – 9,429 тыс.руб.).</w:t>
      </w:r>
    </w:p>
    <w:p w:rsidR="005D0F08" w:rsidRPr="00B806A7" w:rsidRDefault="005D0F08" w:rsidP="005D0F08">
      <w:pPr>
        <w:spacing w:after="0" w:line="240" w:lineRule="auto"/>
        <w:ind w:left="283" w:firstLine="709"/>
        <w:jc w:val="both"/>
        <w:rPr>
          <w:rFonts w:ascii="Times New Roman" w:eastAsia="Times New Roman" w:hAnsi="Times New Roman"/>
          <w:bCs/>
          <w:iCs/>
          <w:color w:val="000000"/>
          <w:sz w:val="24"/>
          <w:szCs w:val="24"/>
          <w:lang w:eastAsia="ru-RU"/>
        </w:rPr>
      </w:pPr>
      <w:r w:rsidRPr="00B806A7">
        <w:rPr>
          <w:rFonts w:ascii="Times New Roman" w:eastAsia="Times New Roman" w:hAnsi="Times New Roman"/>
          <w:bCs/>
          <w:iCs/>
          <w:color w:val="000000"/>
          <w:sz w:val="24"/>
          <w:szCs w:val="24"/>
          <w:lang w:eastAsia="ru-RU"/>
        </w:rPr>
        <w:t xml:space="preserve">с ООО МЭСК договора аренды (субаренды) №1 Ар от 11.12.2019 года, затраты по которому учитывались при планировании исходя из расчета потребности площади в количестве 283,8 кв.м и стоимости аренды 852 руб. за кв.м. Увеличение относительно плановой величины расходов составило 74, 882 тыс.руб. и обусловлено увеличением арендной платы в связи с заключением ООО «НГСК» доп. соглашения к договору в связи с увеличением арендуемой площади, при этом стоимость аренды не увеличилась.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Департаментом проводился анализ указанных документов на предмет соответствия требованиям п. 27, п.п. 5 п. 28, п. 29 Основ ценообразования.</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Закупочные процедуры, по результатам которых ООО «НГСК» были заключены договоры аренды (субаренды) офисных помещений, а также земельного участка № 132952-01 от 09.03.2021 были проведены в соответствии с Положением о порядке проведения закупок товаров, работ и услуг ООО «НГСК» (закупка у единственного поставщика (исполнителя, подрядчика)).</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Учитывая, что указанные закупки являются неконкурентными, они не соответствует требованиям п. 29 Основ ценообразования. В связи с чем департаментом при оценке экономической обоснованности указанных расходов в части стоимости арендной платы применялся сравнительный анализ рыночной стоимости офисных помещений, земельных участков в 2022 году. Установлено, что стоимость арендной платы по вышеуказанным договорам аренды (субаренды), представленным ООО «НГСК» в обоснование расходов по арендной плате офисных помещений и земельных участков, не превышают среднюю рыночную стоимость офисных помещений и земельных участков в городе Новосибирске в 2022 году.</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xml:space="preserve">Вместе с тем, в отсутствие обоснования необходимости по заключению </w:t>
      </w:r>
      <w:r w:rsidR="005863AE" w:rsidRPr="00B806A7">
        <w:rPr>
          <w:rFonts w:ascii="Times New Roman" w:eastAsia="Times New Roman" w:hAnsi="Times New Roman"/>
          <w:bCs/>
          <w:iCs/>
          <w:sz w:val="24"/>
          <w:szCs w:val="24"/>
          <w:lang w:eastAsia="ru-RU"/>
        </w:rPr>
        <w:t xml:space="preserve">ряда </w:t>
      </w:r>
      <w:r w:rsidRPr="00B806A7">
        <w:rPr>
          <w:rFonts w:ascii="Times New Roman" w:eastAsia="Times New Roman" w:hAnsi="Times New Roman"/>
          <w:bCs/>
          <w:iCs/>
          <w:sz w:val="24"/>
          <w:szCs w:val="24"/>
          <w:lang w:eastAsia="ru-RU"/>
        </w:rPr>
        <w:t>догов</w:t>
      </w:r>
      <w:r w:rsidR="005863AE" w:rsidRPr="00B806A7">
        <w:rPr>
          <w:rFonts w:ascii="Times New Roman" w:eastAsia="Times New Roman" w:hAnsi="Times New Roman"/>
          <w:bCs/>
          <w:iCs/>
          <w:sz w:val="24"/>
          <w:szCs w:val="24"/>
          <w:lang w:eastAsia="ru-RU"/>
        </w:rPr>
        <w:t>оров:</w:t>
      </w:r>
      <w:r w:rsidRPr="00B806A7">
        <w:rPr>
          <w:rFonts w:ascii="Times New Roman" w:eastAsia="Times New Roman" w:hAnsi="Times New Roman"/>
          <w:bCs/>
          <w:iCs/>
          <w:sz w:val="24"/>
          <w:szCs w:val="24"/>
          <w:lang w:eastAsia="ru-RU"/>
        </w:rPr>
        <w:t xml:space="preserve"> аренды склада, земельного участка фактически понесенные расходы ООО «НГСК» в 2022 году</w:t>
      </w:r>
      <w:r w:rsidRPr="00B806A7">
        <w:rPr>
          <w:rFonts w:ascii="Times New Roman" w:eastAsia="Times New Roman" w:hAnsi="Times New Roman"/>
          <w:sz w:val="24"/>
          <w:szCs w:val="24"/>
          <w:lang w:eastAsia="ru-RU"/>
        </w:rPr>
        <w:t xml:space="preserve"> </w:t>
      </w:r>
      <w:r w:rsidRPr="00B806A7">
        <w:rPr>
          <w:rFonts w:ascii="Times New Roman" w:eastAsia="Times New Roman" w:hAnsi="Times New Roman"/>
          <w:bCs/>
          <w:iCs/>
          <w:sz w:val="24"/>
          <w:szCs w:val="24"/>
          <w:lang w:eastAsia="ru-RU"/>
        </w:rPr>
        <w:t>были признаны департамент</w:t>
      </w:r>
      <w:r w:rsidR="005863AE" w:rsidRPr="00B806A7">
        <w:rPr>
          <w:rFonts w:ascii="Times New Roman" w:eastAsia="Times New Roman" w:hAnsi="Times New Roman"/>
          <w:bCs/>
          <w:iCs/>
          <w:sz w:val="24"/>
          <w:szCs w:val="24"/>
          <w:lang w:eastAsia="ru-RU"/>
        </w:rPr>
        <w:t xml:space="preserve">ом экономически необоснованными по </w:t>
      </w:r>
      <w:r w:rsidRPr="00B806A7">
        <w:rPr>
          <w:rFonts w:ascii="Times New Roman" w:eastAsia="Times New Roman" w:hAnsi="Times New Roman"/>
          <w:bCs/>
          <w:iCs/>
          <w:sz w:val="24"/>
          <w:szCs w:val="24"/>
          <w:lang w:eastAsia="ru-RU"/>
        </w:rPr>
        <w:t>договор</w:t>
      </w:r>
      <w:r w:rsidR="005863AE" w:rsidRPr="00B806A7">
        <w:rPr>
          <w:rFonts w:ascii="Times New Roman" w:eastAsia="Times New Roman" w:hAnsi="Times New Roman"/>
          <w:bCs/>
          <w:iCs/>
          <w:sz w:val="24"/>
          <w:szCs w:val="24"/>
          <w:lang w:eastAsia="ru-RU"/>
        </w:rPr>
        <w:t>у</w:t>
      </w:r>
      <w:r w:rsidRPr="00B806A7">
        <w:rPr>
          <w:rFonts w:ascii="Times New Roman" w:eastAsia="Times New Roman" w:hAnsi="Times New Roman"/>
          <w:bCs/>
          <w:iCs/>
          <w:sz w:val="24"/>
          <w:szCs w:val="24"/>
          <w:lang w:eastAsia="ru-RU"/>
        </w:rPr>
        <w:t xml:space="preserve"> аренды нежилого помещения 01-20 от 01.12.2020 -1800,0 тыс. руб.; договор</w:t>
      </w:r>
      <w:r w:rsidR="005863AE" w:rsidRPr="00B806A7">
        <w:rPr>
          <w:rFonts w:ascii="Times New Roman" w:eastAsia="Times New Roman" w:hAnsi="Times New Roman"/>
          <w:bCs/>
          <w:iCs/>
          <w:sz w:val="24"/>
          <w:szCs w:val="24"/>
          <w:lang w:eastAsia="ru-RU"/>
        </w:rPr>
        <w:t>у</w:t>
      </w:r>
      <w:r w:rsidRPr="00B806A7">
        <w:rPr>
          <w:rFonts w:ascii="Times New Roman" w:eastAsia="Times New Roman" w:hAnsi="Times New Roman"/>
          <w:bCs/>
          <w:iCs/>
          <w:sz w:val="24"/>
          <w:szCs w:val="24"/>
          <w:lang w:eastAsia="ru-RU"/>
        </w:rPr>
        <w:t xml:space="preserve"> аренды склада № В226/369,6-10 от 12.09.2022г. 600,0 тыс.руб.; </w:t>
      </w:r>
      <w:r w:rsidR="005863AE" w:rsidRPr="00B806A7">
        <w:rPr>
          <w:rFonts w:ascii="Times New Roman" w:eastAsia="Times New Roman" w:hAnsi="Times New Roman"/>
          <w:bCs/>
          <w:iCs/>
          <w:sz w:val="24"/>
          <w:szCs w:val="24"/>
          <w:lang w:eastAsia="ru-RU"/>
        </w:rPr>
        <w:t xml:space="preserve">договору </w:t>
      </w:r>
      <w:r w:rsidRPr="00B806A7">
        <w:rPr>
          <w:rFonts w:ascii="Times New Roman" w:eastAsia="Times New Roman" w:hAnsi="Times New Roman"/>
          <w:bCs/>
          <w:iCs/>
          <w:sz w:val="24"/>
          <w:szCs w:val="24"/>
          <w:lang w:eastAsia="ru-RU"/>
        </w:rPr>
        <w:t>аренды № ЗУ/1 земельного участка от 01.01.2022г. – 450,0 тыс. руб.</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Специалистом департамента было признано превышение расходов относительно плановой величины, предусмотренной в составе НВВ и тарифов ООО «НГСК» на 2022 год, в связи с заключением организацией новых договоров аренды (субаренды) по объективным причинам из них расходы на аренду помещений здания, земельного участка признаны департаментом обоснованными в размере 420,833 тыс. руб., в том числе:  по договору, заключенному с ООО МЭСК №1 Ар от 11.12.2019 на сумму 74,882 тыс. руб. в связи с дополнительным приемом сотрудников организации в 2022 году; договору субаренды части земельного участка № 132952-01 от 09.03.2021 - 9,429 тыс. руб., а также по договору аренды нежилого помещения, заключенному с ООО «СтройТехМонтаж» - 336,522 тыс.руб.</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Кроме того, организацией понесены расходы, не предусмотренные при планировании, связанные с арендой прочего имущества – 2 691,744 тыс. руб. (Указанные расходы не были предусмотрены при формировании НВВ ООО «НГСК» на 2022, поскольку не заявлялись организацией). В обоснование фактических расходов представлены следующие документы: копии договоров аренды, акты, счета-фактуры, инвентарные карточки основных средств (по договорам №70/А от 24.04.2020, №71/А от 27.05.2020, №25/А-19 от 18.01.2019).</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Расходы по аренде прочего имущества, не предусмотренные при формировании (корректировке) НВВ ООО «НГСК» на 2022 год, осуществленные организацией по факту 2022 года, признаны департаментом экономически обоснованными в размере 20,345 тыс.руб. по Договору № 11 субаренды части земельного участка от 20.09.2021г., заключенному с Фондом Защиты участников долевого строительства НСО, под размещение ТП (под строительство под строительство подстанции).</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Величина корректировки арендной платы по факту 2022 года составила 4720,472                и подлежала учету при формиров</w:t>
      </w:r>
      <w:r w:rsidR="005863AE" w:rsidRPr="00B806A7">
        <w:rPr>
          <w:rFonts w:ascii="Times New Roman" w:eastAsia="Times New Roman" w:hAnsi="Times New Roman"/>
          <w:bCs/>
          <w:iCs/>
          <w:sz w:val="24"/>
          <w:szCs w:val="24"/>
          <w:lang w:eastAsia="ru-RU"/>
        </w:rPr>
        <w:t>ании НВВ ООО «НГСК» на 2024 год</w:t>
      </w:r>
      <w:r w:rsidRPr="00B806A7">
        <w:rPr>
          <w:rFonts w:ascii="Times New Roman" w:eastAsia="Times New Roman" w:hAnsi="Times New Roman"/>
          <w:sz w:val="24"/>
          <w:szCs w:val="24"/>
          <w:lang w:eastAsia="ru-RU"/>
        </w:rPr>
        <w:t xml:space="preserve"> (</w:t>
      </w:r>
      <w:r w:rsidRPr="00B806A7">
        <w:rPr>
          <w:rFonts w:ascii="Times New Roman" w:eastAsia="Times New Roman" w:hAnsi="Times New Roman"/>
          <w:bCs/>
          <w:iCs/>
          <w:sz w:val="24"/>
          <w:szCs w:val="24"/>
          <w:lang w:eastAsia="ru-RU"/>
        </w:rPr>
        <w:t>91 308, 215-</w:t>
      </w:r>
      <w:r w:rsidRPr="00B806A7">
        <w:rPr>
          <w:rFonts w:ascii="Times New Roman" w:eastAsia="Times New Roman" w:hAnsi="Times New Roman"/>
          <w:sz w:val="24"/>
          <w:szCs w:val="24"/>
          <w:lang w:eastAsia="ru-RU"/>
        </w:rPr>
        <w:t xml:space="preserve"> </w:t>
      </w:r>
      <w:r w:rsidRPr="00B806A7">
        <w:rPr>
          <w:rFonts w:ascii="Times New Roman" w:eastAsia="Times New Roman" w:hAnsi="Times New Roman"/>
          <w:bCs/>
          <w:iCs/>
          <w:sz w:val="24"/>
          <w:szCs w:val="24"/>
          <w:lang w:eastAsia="ru-RU"/>
        </w:rPr>
        <w:t xml:space="preserve">96 028, 687). С учетом индексации сумма корректировки составила -5353,8 тыс. руб. (4720,472*1,058*1,072).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
          <w:bCs/>
          <w:iCs/>
          <w:sz w:val="24"/>
          <w:szCs w:val="24"/>
          <w:lang w:eastAsia="ru-RU"/>
        </w:rPr>
        <w:t xml:space="preserve">Фактические расходы на амортизационные отчисления </w:t>
      </w:r>
      <w:r w:rsidRPr="00B806A7">
        <w:rPr>
          <w:rFonts w:ascii="Times New Roman" w:eastAsia="Times New Roman" w:hAnsi="Times New Roman"/>
          <w:bCs/>
          <w:iCs/>
          <w:sz w:val="24"/>
          <w:szCs w:val="24"/>
          <w:lang w:eastAsia="ru-RU"/>
        </w:rPr>
        <w:t>за 2022 год составили                 13 532,11 тыс. руб., с ростом относительно плановой величины на 10 339,2 тыс.руб.</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В обоснование фактических расходов организацией представлены ведомость амортизации за 2022 год, инвентарные карточки учета основных средств, приказ о проведении переоценки, экспертное заключение № ЭС-167/23 от 14.02.2023 об определении рыночной стоимости объектов электроснабжения Обществом с ограниченной ответственностью «ПРОФЭКСПЕРТ».</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xml:space="preserve">Департаментом признаны экономически обоснованными фактическое превышение  по расходам на амортизационные отчисления за 2022 год в размере 1 810,60 тыс. руб.: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-на основании документов, подтверждающих государственную регистрацию объектов недвижимого имущества - выписок из Единого государственного реестра недвижимости об основных характеристиках и зарегистрированных правах объекты недвижимости;</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-представленных заключений кадастровых инженеров в отношении ряда объектов электросетевого хозяйства о невозможности их отнесения к объектам недвижимого имущества (в составе материалов тарифного дела на 2023 год);</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xml:space="preserve">-переоценки в отношении объектов основных средств, расходы на амортизацию которых являются источником финансирования мероприятий утвержденной в установленном порядке инвестиционной требований (п.32 Основ ценообразования).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xml:space="preserve">Объекты электросетевого хозяйства, приобретенные по договорам купли-продажи,  в отношении которых, отсутствовал договор на оказание услуг по передаче электрической энергии, заключенный с АО «РЭС» (требование п.п. 13 п.17 Правил № 1178), при установлении НВВ ООО «НГСК» на 2022 год признаны департаментом экономически необоснованными.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Таким образом, при формировании (корректировке) НВВ ООО «НГСК» на 2024 год департаментом подлежали возмещению выпадающие доходы (не учтенные департаментом при формировании НВВ ООО «НГСК» на 2022 год) в размере 1 810,60 тыс. руб.</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С учетом индексации корректировка расходов по амортизации составила 2 053,5 тыс. руб. (1 810,60*1,058*1,072).</w:t>
      </w:r>
    </w:p>
    <w:p w:rsidR="005D0F08" w:rsidRPr="00B806A7" w:rsidRDefault="005D0F08" w:rsidP="005D0F08">
      <w:pPr>
        <w:spacing w:after="0" w:line="240" w:lineRule="auto"/>
        <w:ind w:firstLine="709"/>
        <w:jc w:val="both"/>
        <w:rPr>
          <w:rFonts w:ascii="Times New Roman CYR" w:eastAsia="Times New Roman" w:hAnsi="Times New Roman CYR" w:cs="Times New Roman CYR"/>
          <w:sz w:val="24"/>
          <w:szCs w:val="24"/>
          <w:lang w:eastAsia="ru-RU"/>
        </w:rPr>
      </w:pPr>
      <w:r w:rsidRPr="00B806A7">
        <w:rPr>
          <w:rFonts w:ascii="Times New Roman CYR" w:eastAsia="Times New Roman" w:hAnsi="Times New Roman CYR" w:cs="Times New Roman CYR"/>
          <w:b/>
          <w:sz w:val="24"/>
          <w:szCs w:val="24"/>
          <w:lang w:eastAsia="ru-RU"/>
        </w:rPr>
        <w:t xml:space="preserve">Расходы по налогу на имущество </w:t>
      </w:r>
      <w:r w:rsidRPr="00B806A7">
        <w:rPr>
          <w:rFonts w:ascii="Times New Roman CYR" w:eastAsia="Times New Roman" w:hAnsi="Times New Roman CYR" w:cs="Times New Roman CYR"/>
          <w:sz w:val="24"/>
          <w:szCs w:val="24"/>
          <w:lang w:eastAsia="ru-RU"/>
        </w:rPr>
        <w:t>по факту составили</w:t>
      </w:r>
      <w:r w:rsidRPr="00B806A7">
        <w:rPr>
          <w:rFonts w:ascii="Times New Roman" w:eastAsia="Times New Roman" w:hAnsi="Times New Roman"/>
          <w:sz w:val="24"/>
          <w:szCs w:val="24"/>
          <w:lang w:eastAsia="ru-RU"/>
        </w:rPr>
        <w:t xml:space="preserve"> </w:t>
      </w:r>
      <w:r w:rsidRPr="00B806A7">
        <w:rPr>
          <w:rFonts w:ascii="Times New Roman CYR" w:eastAsia="Times New Roman" w:hAnsi="Times New Roman CYR" w:cs="Times New Roman CYR"/>
          <w:sz w:val="24"/>
          <w:szCs w:val="24"/>
          <w:lang w:eastAsia="ru-RU"/>
        </w:rPr>
        <w:t>2 894,86 тыс. руб.</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CYR" w:eastAsia="Times New Roman" w:hAnsi="Times New Roman CYR" w:cs="Times New Roman CYR"/>
          <w:sz w:val="24"/>
          <w:szCs w:val="24"/>
          <w:lang w:eastAsia="ru-RU"/>
        </w:rPr>
        <w:t xml:space="preserve">В обоснование расходов организацией представлены налоговые декларации за 2022 год. </w:t>
      </w:r>
    </w:p>
    <w:p w:rsidR="005D0F08" w:rsidRPr="00B806A7" w:rsidRDefault="005D0F08" w:rsidP="005D0F08">
      <w:pPr>
        <w:spacing w:after="0" w:line="240" w:lineRule="auto"/>
        <w:ind w:firstLine="720"/>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При формировании (корректировке) НВВ ООО «НГСК» на 2022 год департаментом не учитывались расходы по налогу на имущество, поскольку не заявлялись организацией.</w:t>
      </w:r>
    </w:p>
    <w:p w:rsidR="005D0F08" w:rsidRPr="00B806A7" w:rsidRDefault="005D0F08" w:rsidP="005D0F08">
      <w:pPr>
        <w:spacing w:after="0" w:line="240" w:lineRule="auto"/>
        <w:ind w:firstLine="720"/>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По результатам анализа расчета налога на имущество департаментом  установлено, что налог был начислен в отношении объектов электросетевого хозяйства, построенных в рамках технологического присоединения, а также приобретенных ООО «НГСК» по договорам купли-продажи, не вошедшим в тарифно-балансовое решение на 2022 год.  </w:t>
      </w:r>
    </w:p>
    <w:p w:rsidR="005D0F08" w:rsidRPr="00B806A7" w:rsidRDefault="005D0F08" w:rsidP="005D0F08">
      <w:pPr>
        <w:spacing w:after="0" w:line="240" w:lineRule="auto"/>
        <w:ind w:firstLine="720"/>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Департаментом признаны экономически обоснованными выпадающие расходы, связанные с уплатой налога на имущество в размере 1 386,37 тыс. руб.  </w:t>
      </w:r>
    </w:p>
    <w:p w:rsidR="005D0F08" w:rsidRPr="00B806A7" w:rsidRDefault="005D0F08" w:rsidP="005D0F08">
      <w:pPr>
        <w:spacing w:after="0" w:line="240" w:lineRule="auto"/>
        <w:ind w:firstLine="720"/>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При формировании (корректировке) НВВ ООО «НГСК» на 2024 год департаментом подлежали возмещению выпадающие доходы, связанные с уплатой налога на имущество в 2022 году, в размере 1 386,37 тыс. руб.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С учетом индексации корректировка расходов по налогу на имущество составила 1 572,4 тыс. руб. (1 386,37 *1,058*1,072).</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
          <w:bCs/>
          <w:iCs/>
          <w:sz w:val="24"/>
          <w:szCs w:val="24"/>
          <w:lang w:eastAsia="ru-RU"/>
        </w:rPr>
        <w:t>Фактические расходы по уплате госпошлины</w:t>
      </w:r>
      <w:r w:rsidRPr="00B806A7">
        <w:rPr>
          <w:rFonts w:ascii="Times New Roman" w:eastAsia="Times New Roman" w:hAnsi="Times New Roman"/>
          <w:bCs/>
          <w:iCs/>
          <w:sz w:val="24"/>
          <w:szCs w:val="24"/>
          <w:lang w:eastAsia="ru-RU"/>
        </w:rPr>
        <w:t xml:space="preserve"> по факту 2022 признаны экономически обоснованными в размере 726,0 тыс. руб. Анализ экономической обоснованности изложен в разделе «Прочие неподконтрольные расходы».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Корректировка фактических расходов составила 726,0 тыс. руб. С учетом индексации корректировка расходов по уплате госпошлины составила 823,4 тыс. руб. (726*1,058*1,072).</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Корректировка неподконтрольных расходов исходя из фактических значений указанного параметра в 2022 году по формуле 7 Методических указаний № 98-э, произведена следующим образом:</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xml:space="preserve">1) в сторону увеличения на 5 117,2 тыс. руб. по оплате услуг ПАО «ФСК «ЕЭС», по налогу на имущество, по амортизационным отчислениям, тепловой энергии, уплате госпошлины;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2) в сторону снижения на -4 720,5 тыс. руб. по статье «аренда».</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В результате, при формировании (корректировке) НВВ ООО «НГСК» на 2024 год подлежали возмещению расходы, связанные с корректировкой неподконтрольных расходов за 2022 год, рассчитанные с учетом индексации, применяемой по формуле 3 Методических указаний № 98-э, в суммарном размере 450,0 тыс. руб. (+∆НВВ на 2024 год) (1155+39,1+1810,6+1386,37+726 - 4720,5)* 1,058 *1,072.</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Таким образом, произведенная корректировка неподконтрольных расходов выполнена исходя из фактических расходов, подтвержденных ООО «НГСК» документально, с соблюдением формул Методических указаний 98-э.</w:t>
      </w:r>
    </w:p>
    <w:p w:rsidR="000E0129" w:rsidRPr="00B806A7" w:rsidRDefault="000E0129" w:rsidP="000E0129">
      <w:pPr>
        <w:autoSpaceDE w:val="0"/>
        <w:autoSpaceDN w:val="0"/>
        <w:adjustRightInd w:val="0"/>
        <w:spacing w:after="0" w:line="240" w:lineRule="auto"/>
        <w:ind w:firstLine="709"/>
        <w:jc w:val="both"/>
        <w:rPr>
          <w:rFonts w:ascii="Times New Roman" w:eastAsia="Times New Roman" w:hAnsi="Times New Roman"/>
          <w:b/>
          <w:bCs/>
          <w:iCs/>
          <w:color w:val="000000"/>
          <w:sz w:val="24"/>
          <w:szCs w:val="24"/>
          <w:lang w:eastAsia="ru-RU"/>
        </w:rPr>
      </w:pPr>
      <w:r w:rsidRPr="00B806A7">
        <w:rPr>
          <w:rFonts w:ascii="Times New Roman" w:eastAsia="Times New Roman" w:hAnsi="Times New Roman"/>
          <w:b/>
          <w:bCs/>
          <w:iCs/>
          <w:color w:val="000000"/>
          <w:sz w:val="24"/>
          <w:szCs w:val="24"/>
          <w:lang w:eastAsia="ru-RU"/>
        </w:rPr>
        <w:t xml:space="preserve">С учетом пересмотра корректировки арендной платы объектов электросетевого хозяйства за 2022 год подлежат изъятию необоснованные расходы в составе НВВ ООО «НГСК на 2025 год в размере </w:t>
      </w:r>
      <w:r w:rsidR="007F3256" w:rsidRPr="00B806A7">
        <w:rPr>
          <w:rFonts w:ascii="Times New Roman" w:eastAsia="Times New Roman" w:hAnsi="Times New Roman"/>
          <w:b/>
          <w:bCs/>
          <w:iCs/>
          <w:color w:val="000000"/>
          <w:sz w:val="24"/>
          <w:szCs w:val="24"/>
          <w:lang w:eastAsia="ru-RU"/>
        </w:rPr>
        <w:t xml:space="preserve">(-630 289,46) </w:t>
      </w:r>
      <w:r w:rsidRPr="00B806A7">
        <w:rPr>
          <w:rFonts w:ascii="Times New Roman" w:eastAsia="Times New Roman" w:hAnsi="Times New Roman"/>
          <w:b/>
          <w:bCs/>
          <w:iCs/>
          <w:color w:val="000000"/>
          <w:sz w:val="24"/>
          <w:szCs w:val="24"/>
          <w:lang w:eastAsia="ru-RU"/>
        </w:rPr>
        <w:t xml:space="preserve">руб., с учетом индексации составят </w:t>
      </w:r>
      <w:r w:rsidR="007F3256" w:rsidRPr="00B806A7">
        <w:rPr>
          <w:rFonts w:ascii="Times New Roman" w:eastAsia="Times New Roman" w:hAnsi="Times New Roman"/>
          <w:b/>
          <w:bCs/>
          <w:iCs/>
          <w:color w:val="000000"/>
          <w:sz w:val="24"/>
          <w:szCs w:val="24"/>
          <w:lang w:eastAsia="ru-RU"/>
        </w:rPr>
        <w:t>(</w:t>
      </w:r>
      <w:r w:rsidR="0057584E" w:rsidRPr="00B806A7">
        <w:rPr>
          <w:rFonts w:ascii="Times New Roman" w:eastAsia="Times New Roman" w:hAnsi="Times New Roman"/>
          <w:b/>
          <w:bCs/>
          <w:iCs/>
          <w:color w:val="000000"/>
          <w:sz w:val="24"/>
          <w:szCs w:val="24"/>
          <w:lang w:eastAsia="ru-RU"/>
        </w:rPr>
        <w:t>-781 341,08)</w:t>
      </w:r>
      <w:r w:rsidR="007F3256" w:rsidRPr="00B806A7">
        <w:rPr>
          <w:rFonts w:ascii="Times New Roman" w:eastAsia="Times New Roman" w:hAnsi="Times New Roman"/>
          <w:b/>
          <w:bCs/>
          <w:iCs/>
          <w:color w:val="000000"/>
          <w:sz w:val="24"/>
          <w:szCs w:val="24"/>
          <w:lang w:eastAsia="ru-RU"/>
        </w:rPr>
        <w:t xml:space="preserve"> руб.</w:t>
      </w:r>
    </w:p>
    <w:p w:rsidR="000E0129" w:rsidRPr="00B806A7" w:rsidRDefault="000E0129"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
          <w:bCs/>
          <w:iCs/>
          <w:sz w:val="24"/>
          <w:szCs w:val="24"/>
          <w:lang w:eastAsia="ru-RU"/>
        </w:rPr>
      </w:pPr>
      <w:r w:rsidRPr="00B806A7">
        <w:rPr>
          <w:rFonts w:ascii="Times New Roman" w:eastAsia="Times New Roman" w:hAnsi="Times New Roman"/>
          <w:b/>
          <w:bCs/>
          <w:iCs/>
          <w:sz w:val="24"/>
          <w:szCs w:val="24"/>
          <w:lang w:eastAsia="ru-RU"/>
        </w:rPr>
        <w:t>Корректировки подконтрольных расходов в связи с изменением планируемых параметров расчета тарифов на 2022 -2024 годы</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u w:val="single"/>
          <w:lang w:eastAsia="ru-RU"/>
        </w:rPr>
      </w:pPr>
      <w:r w:rsidRPr="00B806A7">
        <w:rPr>
          <w:rFonts w:ascii="Times New Roman" w:eastAsia="Times New Roman" w:hAnsi="Times New Roman"/>
          <w:bCs/>
          <w:iCs/>
          <w:sz w:val="24"/>
          <w:szCs w:val="24"/>
          <w:u w:val="single"/>
          <w:lang w:eastAsia="ru-RU"/>
        </w:rPr>
        <w:t>Корректировка подконтрольных расходов в связи с изменением планируемых параметров расчета тарифов на 2022 год</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В соответствии с пунктом 38 Основ ценообразования «в течение долгосрочного периода регулирования регулирующими органами ежегодно производится корректировка необходимой валовой выручки, устанавливаемой на очередной период регулирования в соответствии с методическими указаниями, предусмотренными пунктами 32 и (или) 38 Основ ценообразования. По решению регулирующего органа такая корректировка может осуществляться с учетом отклонения фактических значений параметров расчета тарифов по итогам истекшего периода текущего года долгосрочного периода регулирования, за который известны фактические значения параметров расчета тарифов, от планировавшихся значений параметров расчета тарифов, а также изменение плановых показателей на следующие периоды.</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Таким образом, прямой обязанности проводить корректировку подконтрольных расходов в связи с изменением планируемых параметров расчета тарифов действующим законодательством не предусмотрено. Более того, ООО «НГСК» не заявляло к возмещению (либо изъятию) выпадающие (либо излишне полученные) доходы при направлении заявления о корректировке тарифа на 2022 год.</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Учитывая вышеизложенное, корректировка подконтрольных расходов в связи с изменением планируемых параметров расчета тарифов на 2022 год по решению департамента не проводилась.</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Во исполнение Предписания департаментом произведена корректировка подконтрольных расходов в связи с изменением планируемых параметров расчета тарифов на 2022 год. Расчет указанной корректировки выполнен в соответствии с формулой 5 Методических указаний № 98-э, действующей на момент установления тарифов на 2022 год (прилагается к настоящему Заключению.).</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xml:space="preserve">По расчету департамента корректировка подконтрольных в связи с изменением планируемых параметров расчета тарифов составит 82 тыс. руб. С учетом индексации сумма корректировка составит </w:t>
      </w:r>
      <w:r w:rsidR="00EC03A7" w:rsidRPr="00B806A7">
        <w:rPr>
          <w:rFonts w:ascii="Times New Roman" w:eastAsia="Times New Roman" w:hAnsi="Times New Roman"/>
          <w:bCs/>
          <w:iCs/>
          <w:sz w:val="24"/>
          <w:szCs w:val="24"/>
          <w:lang w:eastAsia="ru-RU"/>
        </w:rPr>
        <w:t xml:space="preserve">114,42 </w:t>
      </w:r>
      <w:r w:rsidRPr="00B806A7">
        <w:rPr>
          <w:rFonts w:ascii="Times New Roman" w:eastAsia="Times New Roman" w:hAnsi="Times New Roman"/>
          <w:bCs/>
          <w:iCs/>
          <w:sz w:val="24"/>
          <w:szCs w:val="24"/>
          <w:lang w:eastAsia="ru-RU"/>
        </w:rPr>
        <w:t>тыс. руб. (82*1,06*1,043*1,059*1,08</w:t>
      </w:r>
      <w:r w:rsidR="00EC03A7" w:rsidRPr="00B806A7">
        <w:rPr>
          <w:rFonts w:ascii="Times New Roman" w:eastAsia="Times New Roman" w:hAnsi="Times New Roman"/>
          <w:bCs/>
          <w:iCs/>
          <w:sz w:val="24"/>
          <w:szCs w:val="24"/>
          <w:lang w:eastAsia="ru-RU"/>
        </w:rPr>
        <w:t>5</w:t>
      </w:r>
      <w:r w:rsidRPr="00B806A7">
        <w:rPr>
          <w:rFonts w:ascii="Times New Roman" w:eastAsia="Times New Roman" w:hAnsi="Times New Roman"/>
          <w:bCs/>
          <w:iCs/>
          <w:sz w:val="24"/>
          <w:szCs w:val="24"/>
          <w:lang w:eastAsia="ru-RU"/>
        </w:rPr>
        <w:t>*1,0</w:t>
      </w:r>
      <w:r w:rsidR="00EC03A7" w:rsidRPr="00B806A7">
        <w:rPr>
          <w:rFonts w:ascii="Times New Roman" w:eastAsia="Times New Roman" w:hAnsi="Times New Roman"/>
          <w:bCs/>
          <w:iCs/>
          <w:sz w:val="24"/>
          <w:szCs w:val="24"/>
          <w:lang w:eastAsia="ru-RU"/>
        </w:rPr>
        <w:t>93</w:t>
      </w:r>
      <w:r w:rsidRPr="00B806A7">
        <w:rPr>
          <w:rFonts w:ascii="Times New Roman" w:eastAsia="Times New Roman" w:hAnsi="Times New Roman"/>
          <w:bCs/>
          <w:iCs/>
          <w:sz w:val="24"/>
          <w:szCs w:val="24"/>
          <w:lang w:eastAsia="ru-RU"/>
        </w:rPr>
        <w:t>)</w:t>
      </w:r>
      <w:r w:rsidR="008D64B8" w:rsidRPr="00B806A7">
        <w:rPr>
          <w:rFonts w:ascii="Times New Roman" w:eastAsia="Times New Roman" w:hAnsi="Times New Roman"/>
          <w:bCs/>
          <w:iCs/>
          <w:sz w:val="24"/>
          <w:szCs w:val="24"/>
          <w:lang w:eastAsia="ru-RU"/>
        </w:rPr>
        <w:t>.</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Согласно формуле 5 Методических указаний 98-э в расчет принимается фактическое количество у.е., а не среднегодовое.</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xml:space="preserve">По состоянию на 31.12.2020 года у ООО «НГСК» суммарное количество условных единиц обслуживаемого оборудования составляло 5188,46 у.е.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При оценке анализа департаментом принята плановая величина у.е. исключительно только по объектам электросетевого хозяйства, учтенным департаментом в тарифно-балансовом решении на 2020 год, в отношении которых ООО «НГСК» заключен с АО «РЭС» договор на оказание услуг по передаче электрической энергии на основании требований п. 17 Правил № 1178.</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В качестве обоснования права владения объектами электросетевого хозяйства в адрес департамента предоставлены: договоры купли-продажи, инвентарные карточки (ОС-6), выписки из ЕГРН, заключения кадастровых инженеров, а также заключенные договоры аренды объектов электросетевого хозяйства с подтверждением государственной регистрации,  заключения кадастровых инженеров.</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xml:space="preserve">Таким образом, корректировка подконтрольных расходов по факту 2020 года в связи с изменением планируемых параметров расчета тарифов на 2022 год составит </w:t>
      </w:r>
      <w:r w:rsidR="008D64B8" w:rsidRPr="00B806A7">
        <w:rPr>
          <w:rFonts w:ascii="Times New Roman" w:eastAsia="Times New Roman" w:hAnsi="Times New Roman"/>
          <w:bCs/>
          <w:iCs/>
          <w:sz w:val="24"/>
          <w:szCs w:val="24"/>
          <w:lang w:eastAsia="ru-RU"/>
        </w:rPr>
        <w:t xml:space="preserve">114,42 </w:t>
      </w:r>
      <w:r w:rsidRPr="00B806A7">
        <w:rPr>
          <w:rFonts w:ascii="Times New Roman" w:eastAsia="Times New Roman" w:hAnsi="Times New Roman"/>
          <w:bCs/>
          <w:iCs/>
          <w:sz w:val="24"/>
          <w:szCs w:val="24"/>
          <w:lang w:eastAsia="ru-RU"/>
        </w:rPr>
        <w:t xml:space="preserve">тыс. руб.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u w:val="single"/>
          <w:lang w:eastAsia="ru-RU"/>
        </w:rPr>
      </w:pPr>
      <w:r w:rsidRPr="00B806A7">
        <w:rPr>
          <w:rFonts w:ascii="Times New Roman" w:eastAsia="Times New Roman" w:hAnsi="Times New Roman"/>
          <w:bCs/>
          <w:iCs/>
          <w:sz w:val="24"/>
          <w:szCs w:val="24"/>
          <w:u w:val="single"/>
          <w:lang w:eastAsia="ru-RU"/>
        </w:rPr>
        <w:t>Корректировка подконтрольных расходов в связи с изменением планируемых параметров расчета тарифов на 2023 год</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В соответствии с пунктом 11 Методических указаний № 98-э корректировка подконтрольных расходов в связи с изменением планируемых параметров расчета тарифов, определяемая в соответствии с пунктом 11(1) Методических указаний № 98-э не рассчитывается для случаев, если год i-2 является первым годом долгосрочного периода регулирования или годом пересмотра базового уровня подконтрольных расходов.</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Учитывая, что 2021 год является первым годом долгосрочного периода регулирования 2021-2025 годы корректировка подконтрольных расходов в связи с изменением планируемых параметров расчета тарифов в 2023 году департаментом не проводилась.</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u w:val="single"/>
          <w:lang w:eastAsia="ru-RU"/>
        </w:rPr>
      </w:pPr>
      <w:r w:rsidRPr="00B806A7">
        <w:rPr>
          <w:rFonts w:ascii="Times New Roman" w:eastAsia="Times New Roman" w:hAnsi="Times New Roman"/>
          <w:bCs/>
          <w:iCs/>
          <w:sz w:val="24"/>
          <w:szCs w:val="24"/>
          <w:u w:val="single"/>
          <w:lang w:eastAsia="ru-RU"/>
        </w:rPr>
        <w:t xml:space="preserve">Корректировка подконтрольных расходов в связи с изменением планируемых параметров расчета тарифов на 2024 год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xml:space="preserve">В 2022 году ООО «НГСК» приняты на обслуживание объекты электросетевого хозяйства, ранее обслуживаемые территориальными сетевыми организациями: ООО «БЭМЗ-Энергосервис» и ООО «РП-10», расходы по которым учтены при расчете единых (котловых) тарифов на услуги по передаче электрической энергии для потребителей Новосибирской области на 2022 год.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В этой связи ООО «НГСК» заявлены к возмещению выпадающие доходы за 2022 год в размере 5163,6 тыс.руб. (с учетом оплаты потерь электрической энергии), в том числе 3738,01 тыс.руб. без учета расходов на оплату потерь, расходы по которым не учитывались департаментом при формировании (корректировке) НВВ ООО «НГСК» на 2022 год.</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При установлении (корректировке) НВВ ООО «НГСК» на 2024 год департаментом произведена корректировка подконтрольных расходов в связи с изменением планируемых параметров расчета тарифов за 2022 год.</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Указанная корректировка произведена в соответствии с формулой 9.6. Методических указаний № 98-э, что отражено на стр. 92 Экспертного заключения по вопросу корректировки необходимой валовой выручки и индивидуальных тарифов на услуги по передаче электрической энергии на 2024 год в рамках долгосрочного периода регулирования 2021-2025 годов для Общества с ограниченной ответственностью «Новосибирская городская сетевая компания», оказывающего услуги по передаче электрической энергии на территории Новосибирской области.</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По расчету департамента корректировка подконтрольных с учетом изменения планируемых параметров расчета составила 5030,7 тыс. руб. (расчет прилагается к настоящему Заключению).</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При оценке анализа департаментом приняты исключительно объекты электросетевого хозяйства, учтенные департаментом в тарифно-балансовом решении на 2022 год, в отношении которых ООО «НГСК» заключен с АО «РЭС» договор на оказание услуг по передаче электрической энергии на основании требований п. 17 Правил № 1178.</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В расчет принималось фактическое среднегодовое количество у.е., которое подтверждено договорами купли-продажи, инвентарными карточками (ОС-6), выписками из ЕГРН, заключениями кадастровых инженеров, а также заключенными договорами аренды объектов электросетевого хозяйства с подтверждением государственной регистрации                          (заключения кадастровых инженеров).</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С учетом индексации сумма корректировка составила 5705,7 тыс. руб. (5030,7*1,058*1072).</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
          <w:bCs/>
          <w:iCs/>
          <w:sz w:val="24"/>
          <w:szCs w:val="24"/>
          <w:lang w:eastAsia="ru-RU"/>
        </w:rPr>
      </w:pPr>
      <w:r w:rsidRPr="00B806A7">
        <w:rPr>
          <w:rFonts w:ascii="Times New Roman" w:eastAsia="Times New Roman" w:hAnsi="Times New Roman"/>
          <w:b/>
          <w:bCs/>
          <w:iCs/>
          <w:sz w:val="24"/>
          <w:szCs w:val="24"/>
          <w:lang w:eastAsia="ru-RU"/>
        </w:rPr>
        <w:t>Корректировка необходимой валовой выручки по доходам от осуществления регулируемой деятельности на 2022-2024 годы</w:t>
      </w:r>
    </w:p>
    <w:p w:rsidR="005D0F08" w:rsidRPr="00B806A7" w:rsidRDefault="005D0F08" w:rsidP="005D0F08">
      <w:pPr>
        <w:autoSpaceDE w:val="0"/>
        <w:autoSpaceDN w:val="0"/>
        <w:adjustRightInd w:val="0"/>
        <w:spacing w:after="0" w:line="240" w:lineRule="auto"/>
        <w:ind w:firstLine="709"/>
        <w:jc w:val="both"/>
        <w:rPr>
          <w:rFonts w:ascii="Times New Roman" w:hAnsi="Times New Roman"/>
          <w:sz w:val="24"/>
          <w:szCs w:val="24"/>
          <w:u w:val="single"/>
        </w:rPr>
      </w:pPr>
      <w:r w:rsidRPr="00B806A7">
        <w:rPr>
          <w:rFonts w:ascii="Times New Roman" w:hAnsi="Times New Roman"/>
          <w:sz w:val="24"/>
          <w:szCs w:val="24"/>
          <w:u w:val="single"/>
        </w:rPr>
        <w:t>Корректировка по факту 2020 года</w:t>
      </w:r>
    </w:p>
    <w:p w:rsidR="005D0F08" w:rsidRPr="00B806A7" w:rsidRDefault="005D0F08" w:rsidP="005D0F08">
      <w:pPr>
        <w:autoSpaceDE w:val="0"/>
        <w:autoSpaceDN w:val="0"/>
        <w:adjustRightInd w:val="0"/>
        <w:spacing w:after="0" w:line="240" w:lineRule="auto"/>
        <w:ind w:firstLine="709"/>
        <w:jc w:val="both"/>
        <w:rPr>
          <w:rFonts w:ascii="Times New Roman" w:hAnsi="Times New Roman"/>
          <w:sz w:val="24"/>
          <w:szCs w:val="24"/>
        </w:rPr>
      </w:pPr>
      <w:r w:rsidRPr="00B806A7">
        <w:rPr>
          <w:rFonts w:ascii="Times New Roman" w:hAnsi="Times New Roman"/>
          <w:sz w:val="24"/>
          <w:szCs w:val="24"/>
        </w:rPr>
        <w:t>За 2020 год фактическая выручка от оказания услуг по передаче электрической энергии составила 116 893,52 тыс. руб., что подтверждается данными раздельного учета Таблицы 1.3. «Показатели раздельного учета доходов и расходов субъекта естественных монополий, оказывающего услуги по передаче электроэнергии (мощности) по электрическим сетям, принадлежащим на праве собственности или ином законном основании территориальным сетевым организациям», формой «Отчет о прибылях и убытках» за 2020 год.</w:t>
      </w:r>
    </w:p>
    <w:p w:rsidR="005D0F08" w:rsidRPr="00B806A7" w:rsidRDefault="005D0F08" w:rsidP="005D0F08">
      <w:pPr>
        <w:autoSpaceDE w:val="0"/>
        <w:autoSpaceDN w:val="0"/>
        <w:adjustRightInd w:val="0"/>
        <w:spacing w:after="0" w:line="240" w:lineRule="auto"/>
        <w:ind w:firstLine="709"/>
        <w:jc w:val="both"/>
        <w:rPr>
          <w:rFonts w:ascii="Times New Roman" w:hAnsi="Times New Roman"/>
          <w:sz w:val="24"/>
          <w:szCs w:val="24"/>
        </w:rPr>
      </w:pPr>
      <w:r w:rsidRPr="00B806A7">
        <w:rPr>
          <w:rFonts w:ascii="Times New Roman" w:hAnsi="Times New Roman"/>
          <w:sz w:val="24"/>
          <w:szCs w:val="24"/>
        </w:rPr>
        <w:t xml:space="preserve">В обоснование ООО «НГСК» представлены акты об оказанных услуг по передаче электрической энергии и счета-фактуры за 2020 год, предъявленные к оплате АО «РЭС» на основании заключенного договора оказания услуг по передаче электрической энергии. </w:t>
      </w:r>
    </w:p>
    <w:p w:rsidR="005D0F08" w:rsidRPr="00B806A7" w:rsidRDefault="005D0F08" w:rsidP="005D0F08">
      <w:pPr>
        <w:autoSpaceDE w:val="0"/>
        <w:autoSpaceDN w:val="0"/>
        <w:adjustRightInd w:val="0"/>
        <w:spacing w:after="0" w:line="240" w:lineRule="auto"/>
        <w:ind w:firstLine="709"/>
        <w:jc w:val="both"/>
        <w:rPr>
          <w:rFonts w:ascii="Times New Roman" w:hAnsi="Times New Roman"/>
          <w:sz w:val="24"/>
          <w:szCs w:val="24"/>
        </w:rPr>
      </w:pPr>
      <w:r w:rsidRPr="00B806A7">
        <w:rPr>
          <w:rFonts w:ascii="Times New Roman" w:hAnsi="Times New Roman"/>
          <w:sz w:val="24"/>
          <w:szCs w:val="24"/>
        </w:rPr>
        <w:t xml:space="preserve">Вместе с тем, оплаченный АО «РЭС» объем услуг ООО «НГСК» от деятельности по передаче электрической энергии, согласно отчетным данным АО «РЭС», составил 113510,7 тыс. руб. с ростом показателя, принятого при формировании тарифа, на 12 347,1 тыс. руб. (+12,2%), что обусловлено увеличением относительно плана объёма пропуска электрической энергии по сетям, учитываемого АО «РЭС» при оплате услуг по передаче электрической энергии. Расчёты за услуги по передаче электрической энергии за 2020 год осуществлялись по одноставочному тарифу. </w:t>
      </w:r>
    </w:p>
    <w:p w:rsidR="005D0F08" w:rsidRPr="00B806A7" w:rsidRDefault="005D0F08" w:rsidP="005D0F08">
      <w:pPr>
        <w:autoSpaceDE w:val="0"/>
        <w:autoSpaceDN w:val="0"/>
        <w:adjustRightInd w:val="0"/>
        <w:spacing w:after="0" w:line="240" w:lineRule="auto"/>
        <w:ind w:firstLine="709"/>
        <w:jc w:val="both"/>
        <w:rPr>
          <w:rFonts w:ascii="Times New Roman" w:hAnsi="Times New Roman"/>
          <w:sz w:val="24"/>
          <w:szCs w:val="24"/>
        </w:rPr>
      </w:pPr>
      <w:r w:rsidRPr="00B806A7">
        <w:rPr>
          <w:rFonts w:ascii="Times New Roman" w:hAnsi="Times New Roman"/>
          <w:sz w:val="24"/>
          <w:szCs w:val="24"/>
        </w:rPr>
        <w:t xml:space="preserve">Размер выручки за оказанные услуги по передаче электрической энергии ООО «НГСК», оплаченный АО «РЭС» в размере 113510,7 тыс.руб., рассчитан из согласованной АО «РЭС» величины сальдированного перетока электрической энергии в размере 128,98059 млн.кВтч.   </w:t>
      </w:r>
    </w:p>
    <w:p w:rsidR="005D0F08" w:rsidRPr="00B806A7" w:rsidRDefault="005D0F08" w:rsidP="005D0F08">
      <w:pPr>
        <w:autoSpaceDE w:val="0"/>
        <w:autoSpaceDN w:val="0"/>
        <w:adjustRightInd w:val="0"/>
        <w:spacing w:after="0" w:line="240" w:lineRule="auto"/>
        <w:ind w:firstLine="709"/>
        <w:jc w:val="both"/>
        <w:rPr>
          <w:rFonts w:ascii="Times New Roman" w:hAnsi="Times New Roman"/>
          <w:sz w:val="24"/>
          <w:szCs w:val="24"/>
        </w:rPr>
      </w:pPr>
      <w:r w:rsidRPr="00B806A7">
        <w:rPr>
          <w:rFonts w:ascii="Times New Roman" w:hAnsi="Times New Roman"/>
          <w:sz w:val="24"/>
          <w:szCs w:val="24"/>
        </w:rPr>
        <w:t xml:space="preserve">Департаментом ежегодно проводится анализ формы 46-ээ сетевыми организациями, вместе с тем указанные данные в форме 46-ээ не используются для целей корректировки НВВ и тарифов, поскольку заполняемые ежемесячно сетевыми организациями в форме 46-ээ данные являются оперативной информацией и не отражают в полном объеме информацию по отпуску электрической энергии с учетом проведенных организацией корректировок в течение отчетного периода.  </w:t>
      </w:r>
    </w:p>
    <w:p w:rsidR="005D0F08" w:rsidRPr="00B806A7" w:rsidRDefault="005D0F08" w:rsidP="005D0F08">
      <w:pPr>
        <w:autoSpaceDE w:val="0"/>
        <w:autoSpaceDN w:val="0"/>
        <w:adjustRightInd w:val="0"/>
        <w:spacing w:after="0" w:line="240" w:lineRule="auto"/>
        <w:ind w:firstLine="709"/>
        <w:jc w:val="both"/>
        <w:rPr>
          <w:rFonts w:ascii="Times New Roman" w:hAnsi="Times New Roman"/>
          <w:sz w:val="24"/>
          <w:szCs w:val="24"/>
        </w:rPr>
      </w:pPr>
      <w:r w:rsidRPr="00B806A7">
        <w:rPr>
          <w:rFonts w:ascii="Times New Roman" w:hAnsi="Times New Roman"/>
          <w:sz w:val="24"/>
          <w:szCs w:val="24"/>
        </w:rPr>
        <w:t>Департаментом производилась корректировка НВВ по доходам исходя из признанных объемов оказанных услуг котлодержателем (АО «РЭС») на основании заключенного договора оказания услуг по передаче электрической энергии.</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CYR" w:eastAsia="Times New Roman" w:hAnsi="Times New Roman CYR" w:cs="Times New Roman CYR"/>
          <w:sz w:val="24"/>
          <w:szCs w:val="24"/>
          <w:lang w:eastAsia="ru-RU"/>
        </w:rPr>
        <w:t xml:space="preserve">В результате проведенного департаментом анализа за 2020 год установлено, что от деятельности по передаче электрической энергии у ООО «НГСК» образовался дополнительный доход </w:t>
      </w:r>
      <w:r w:rsidRPr="00B806A7">
        <w:rPr>
          <w:rFonts w:ascii="Times New Roman" w:eastAsia="Times New Roman" w:hAnsi="Times New Roman"/>
          <w:sz w:val="24"/>
          <w:szCs w:val="24"/>
          <w:lang w:eastAsia="ru-RU"/>
        </w:rPr>
        <w:t xml:space="preserve">в размере 9524,82 тыс.руб., </w:t>
      </w:r>
      <w:r w:rsidRPr="00B806A7">
        <w:rPr>
          <w:rFonts w:ascii="Times New Roman" w:eastAsia="Times New Roman" w:hAnsi="Times New Roman"/>
          <w:color w:val="000000"/>
          <w:sz w:val="24"/>
          <w:szCs w:val="24"/>
          <w:lang w:eastAsia="ru-RU"/>
        </w:rPr>
        <w:t xml:space="preserve">связанный с увеличением пропуска по </w:t>
      </w:r>
      <w:r w:rsidRPr="00B806A7">
        <w:rPr>
          <w:rFonts w:ascii="Times New Roman" w:eastAsia="Times New Roman" w:hAnsi="Times New Roman"/>
          <w:sz w:val="24"/>
          <w:szCs w:val="24"/>
          <w:lang w:eastAsia="ru-RU"/>
        </w:rPr>
        <w:t xml:space="preserve">сети потребителям, присоединенным к сетям организации. </w:t>
      </w:r>
    </w:p>
    <w:p w:rsidR="005D0F08" w:rsidRPr="00B806A7" w:rsidRDefault="005D0F08" w:rsidP="005D0F08">
      <w:pPr>
        <w:spacing w:after="0" w:line="240" w:lineRule="auto"/>
        <w:ind w:firstLine="708"/>
        <w:jc w:val="both"/>
        <w:rPr>
          <w:rFonts w:ascii="Times New Roman" w:eastAsia="Times New Roman" w:hAnsi="Times New Roman"/>
          <w:sz w:val="24"/>
          <w:szCs w:val="24"/>
        </w:rPr>
      </w:pPr>
      <w:r w:rsidRPr="00B806A7">
        <w:rPr>
          <w:rFonts w:ascii="Times New Roman" w:eastAsia="Times New Roman" w:hAnsi="Times New Roman"/>
          <w:sz w:val="24"/>
          <w:szCs w:val="24"/>
          <w:lang w:eastAsia="ru-RU"/>
        </w:rPr>
        <w:t xml:space="preserve">Дополнительный доход в части содержания сетей </w:t>
      </w:r>
      <w:r w:rsidRPr="00B806A7">
        <w:rPr>
          <w:rFonts w:ascii="Times New Roman" w:eastAsia="Times New Roman" w:hAnsi="Times New Roman"/>
          <w:bCs/>
          <w:color w:val="000000"/>
          <w:sz w:val="24"/>
          <w:szCs w:val="24"/>
        </w:rPr>
        <w:t xml:space="preserve">рассчитан с учетом требований формулы 7(1) </w:t>
      </w:r>
      <w:r w:rsidRPr="00B806A7">
        <w:rPr>
          <w:rFonts w:ascii="Times New Roman" w:eastAsia="Times New Roman" w:hAnsi="Times New Roman"/>
          <w:sz w:val="24"/>
          <w:szCs w:val="24"/>
          <w:lang w:eastAsia="ru-RU"/>
        </w:rPr>
        <w:t>Методических указаний N 98-э,</w:t>
      </w:r>
    </w:p>
    <w:p w:rsidR="005D0F08" w:rsidRPr="00B806A7" w:rsidRDefault="00B806A7" w:rsidP="005D0F08">
      <w:pPr>
        <w:widowControl w:val="0"/>
        <w:autoSpaceDE w:val="0"/>
        <w:autoSpaceDN w:val="0"/>
        <w:spacing w:before="220" w:after="0" w:line="240" w:lineRule="auto"/>
        <w:ind w:firstLine="540"/>
        <w:jc w:val="both"/>
        <w:rPr>
          <w:rFonts w:ascii="Times New Roman" w:eastAsia="Times New Roman" w:hAnsi="Times New Roman"/>
          <w:sz w:val="24"/>
          <w:szCs w:val="24"/>
          <w:lang w:eastAsia="ru-RU"/>
        </w:rPr>
      </w:pPr>
      <w:r w:rsidRPr="00B806A7">
        <w:rPr>
          <w:rFonts w:ascii="Times New Roman" w:eastAsia="Times New Roman" w:hAnsi="Times New Roman"/>
          <w:noProof/>
          <w:position w:val="-9"/>
          <w:sz w:val="24"/>
          <w:szCs w:val="24"/>
          <w:lang w:eastAsia="ru-RU"/>
        </w:rPr>
        <w:pict>
          <v:shape id="Рисунок 19" o:spid="_x0000_i1027" type="#_x0000_t75" alt="base_1_287253_32781" style="width:164.3pt;height:19.7pt;visibility:visible">
            <v:imagedata r:id="rId20" o:title="base_1_287253_32781"/>
            <o:lock v:ext="edit" aspectratio="f"/>
          </v:shape>
        </w:pict>
      </w:r>
      <w:r w:rsidR="005D0F08" w:rsidRPr="00B806A7">
        <w:rPr>
          <w:rFonts w:ascii="Times New Roman" w:eastAsia="Times New Roman" w:hAnsi="Times New Roman"/>
          <w:sz w:val="24"/>
          <w:szCs w:val="24"/>
          <w:lang w:eastAsia="ru-RU"/>
        </w:rPr>
        <w:t>, где</w:t>
      </w:r>
    </w:p>
    <w:p w:rsidR="005D0F08" w:rsidRPr="00B806A7" w:rsidRDefault="005D0F08" w:rsidP="005D0F08">
      <w:pPr>
        <w:widowControl w:val="0"/>
        <w:autoSpaceDE w:val="0"/>
        <w:autoSpaceDN w:val="0"/>
        <w:spacing w:after="0" w:line="240" w:lineRule="auto"/>
        <w:ind w:firstLine="53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 </w:t>
      </w:r>
      <w:r w:rsidR="00B806A7" w:rsidRPr="00B806A7">
        <w:rPr>
          <w:rFonts w:ascii="Times New Roman" w:eastAsia="Times New Roman" w:hAnsi="Times New Roman"/>
          <w:noProof/>
          <w:position w:val="-9"/>
          <w:sz w:val="24"/>
          <w:szCs w:val="24"/>
          <w:lang w:eastAsia="ru-RU"/>
        </w:rPr>
        <w:pict>
          <v:shape id="Рисунок 20" o:spid="_x0000_i1028" type="#_x0000_t75" alt="base_1_287253_32782" style="width:41.25pt;height:19.7pt;visibility:visible">
            <v:imagedata r:id="rId21" o:title="base_1_287253_32782"/>
            <o:lock v:ext="edit" aspectratio="f"/>
          </v:shape>
        </w:pict>
      </w:r>
      <w:r w:rsidRPr="00B806A7">
        <w:rPr>
          <w:rFonts w:ascii="Times New Roman" w:eastAsia="Times New Roman" w:hAnsi="Times New Roman"/>
          <w:sz w:val="24"/>
          <w:szCs w:val="24"/>
          <w:lang w:eastAsia="ru-RU"/>
        </w:rPr>
        <w:t xml:space="preserve"> - необходимая валовая выручка в части содержания электрических сетей, установленная на год i-2; </w:t>
      </w:r>
    </w:p>
    <w:p w:rsidR="005D0F08" w:rsidRPr="00B806A7" w:rsidRDefault="00B806A7" w:rsidP="005D0F08">
      <w:pPr>
        <w:widowControl w:val="0"/>
        <w:autoSpaceDE w:val="0"/>
        <w:autoSpaceDN w:val="0"/>
        <w:spacing w:after="0" w:line="240" w:lineRule="auto"/>
        <w:ind w:firstLine="539"/>
        <w:jc w:val="both"/>
        <w:rPr>
          <w:rFonts w:ascii="Times New Roman" w:eastAsia="Times New Roman" w:hAnsi="Times New Roman"/>
          <w:sz w:val="24"/>
          <w:szCs w:val="24"/>
          <w:lang w:eastAsia="ru-RU"/>
        </w:rPr>
      </w:pPr>
      <w:r w:rsidRPr="00B806A7">
        <w:rPr>
          <w:rFonts w:ascii="Times New Roman" w:eastAsia="Times New Roman" w:hAnsi="Times New Roman"/>
          <w:noProof/>
          <w:position w:val="-9"/>
          <w:sz w:val="24"/>
          <w:szCs w:val="24"/>
          <w:lang w:eastAsia="ru-RU"/>
        </w:rPr>
        <w:pict>
          <v:shape id="Рисунок 23" o:spid="_x0000_i1029" type="#_x0000_t75" alt="base_1_287253_32783" style="width:41.25pt;height:19.7pt;visibility:visible">
            <v:imagedata r:id="rId22" o:title="base_1_287253_32783"/>
            <o:lock v:ext="edit" aspectratio="f"/>
          </v:shape>
        </w:pict>
      </w:r>
      <w:r w:rsidR="005D0F08" w:rsidRPr="00B806A7">
        <w:rPr>
          <w:rFonts w:ascii="Times New Roman" w:eastAsia="Times New Roman" w:hAnsi="Times New Roman"/>
          <w:sz w:val="24"/>
          <w:szCs w:val="24"/>
          <w:lang w:eastAsia="ru-RU"/>
        </w:rPr>
        <w:t xml:space="preserve"> - фактический объем выручки за услуги по передаче электрической энергии за год i-2 в части содержания электрических сетей (с учетом фактически недополученной выручки по зависящим от сетевой организации причинам), определяемый исходя из установленных на год i-2 тарифов на услуги по передаче электрической энергии без учета ставки, используемой для целей определения расходов на оплату нормативных потерь электрической энергии при ее передаче по электрическим сетям, и фактических объемов оказанных услуг                                 (128980,6 МВт.ч* 678,15 </w:t>
      </w:r>
      <w:r w:rsidR="005D0F08" w:rsidRPr="00B806A7">
        <w:rPr>
          <w:rFonts w:ascii="Times New Roman" w:eastAsia="Times New Roman" w:hAnsi="Times New Roman"/>
          <w:iCs/>
          <w:sz w:val="24"/>
          <w:szCs w:val="24"/>
          <w:lang w:eastAsia="ru-RU"/>
        </w:rPr>
        <w:t xml:space="preserve">руб./МВт.ч= </w:t>
      </w:r>
      <w:r w:rsidR="005D0F08" w:rsidRPr="00B806A7">
        <w:rPr>
          <w:rFonts w:ascii="Times New Roman" w:eastAsia="Times New Roman" w:hAnsi="Times New Roman"/>
          <w:bCs/>
          <w:color w:val="000000"/>
          <w:sz w:val="24"/>
          <w:szCs w:val="24"/>
          <w:lang w:eastAsia="ru-RU"/>
        </w:rPr>
        <w:t>87468,7</w:t>
      </w:r>
      <w:r w:rsidR="005D0F08" w:rsidRPr="00B806A7">
        <w:rPr>
          <w:rFonts w:ascii="Times New Roman" w:eastAsia="Times New Roman" w:hAnsi="Times New Roman"/>
          <w:iCs/>
          <w:sz w:val="24"/>
          <w:szCs w:val="24"/>
          <w:lang w:eastAsia="ru-RU"/>
        </w:rPr>
        <w:t xml:space="preserve"> тыс.руб.).</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Таким образом, сумма корректировки выручки в части содержания сетей составила: </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77943,9 тыс.руб.- </w:t>
      </w:r>
      <w:r w:rsidRPr="00B806A7">
        <w:rPr>
          <w:rFonts w:ascii="Times New Roman" w:eastAsia="Times New Roman" w:hAnsi="Times New Roman"/>
          <w:bCs/>
          <w:color w:val="000000"/>
          <w:sz w:val="24"/>
          <w:szCs w:val="24"/>
          <w:lang w:eastAsia="ru-RU"/>
        </w:rPr>
        <w:t xml:space="preserve">87468,7 </w:t>
      </w:r>
      <w:r w:rsidRPr="00B806A7">
        <w:rPr>
          <w:rFonts w:ascii="Times New Roman" w:eastAsia="Times New Roman" w:hAnsi="Times New Roman"/>
          <w:sz w:val="24"/>
          <w:szCs w:val="24"/>
          <w:lang w:eastAsia="ru-RU"/>
        </w:rPr>
        <w:t xml:space="preserve">тыс.руб.= - 9524,8 тыс.руб. </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С учетом индексации -10530,4 тыс. руб. (9524,8 1,06*1,043)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
          <w:bCs/>
          <w:iCs/>
          <w:sz w:val="24"/>
          <w:szCs w:val="24"/>
          <w:lang w:eastAsia="ru-RU"/>
        </w:rPr>
      </w:pPr>
      <w:r w:rsidRPr="00B806A7">
        <w:rPr>
          <w:rFonts w:ascii="Times New Roman" w:eastAsia="Times New Roman" w:hAnsi="Times New Roman"/>
          <w:b/>
          <w:bCs/>
          <w:iCs/>
          <w:sz w:val="24"/>
          <w:szCs w:val="24"/>
          <w:lang w:eastAsia="ru-RU"/>
        </w:rPr>
        <w:t>Корректировка по факту 2021 года</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За 2021 год фактическая выручка от оказания услуг по передаче электрической энергии составила 136 998,407 тыс. руб., что подтверждается данными раздельного учета Таблицы 1.3. «Показатели раздельного учета доходов и расходов субъекта естественных монополий, оказывающего услуги по передаче электроэнергии (мощности) по электрическим сетям, принадлежащим на праве собственности или ином законном основании территориальным сетевым организациям», формой «Отчет о прибылях и убытках» за 2021 год.</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xml:space="preserve">В обоснование ООО «НГСК» представлены акты об оказанных услуг по передаче электрической энергии и счета-фактуры за 2021 год, предъявленные к оплате АО «РЭС» на основании заключенного договора оказания услуг по передаче электрической энергии.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xml:space="preserve">Вместе с тем, оплаченный АО «РЭС» объем услуг ООО «НГСК» от деятельности по передаче электрической энергии, согласно отчетным данным АО «РЭС», составил 136 477,6 тыс. руб. со снижением показателя, принятого при формировании тарифа, на 7859,5 тыс. руб. (-5,45%), что обусловлено сокращением относительно плана объёма пропуска электрической энергии по сетям, учитываемого АО «РЭС» при оплате услуг по передаче электрической энергии, с учетом исключения ряда точек поставки (в т.ч. ООО «Сады Гиганта»). Расчёты за услуги по передаче электрической энергии за 2021 год осуществлялись по одноставочному тарифу.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Департаментом производилась корректировка НВВ по доходам за 2021 год исходя из признанных объемов оказанных услуг котлодержателем (АО «РЭС») на основании заключенного договора оказания услуг по передаче электрической энергии.</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CYR" w:eastAsia="Times New Roman" w:hAnsi="Times New Roman CYR" w:cs="Times New Roman CYR"/>
          <w:sz w:val="24"/>
          <w:szCs w:val="24"/>
          <w:lang w:eastAsia="ru-RU"/>
        </w:rPr>
        <w:t xml:space="preserve">В результате проведенного департаментом анализа за 2021 год установлено, что от деятельности по передаче электрической энергии у ООО «НГСК» образовался недополученный  доход </w:t>
      </w:r>
      <w:r w:rsidRPr="00B806A7">
        <w:rPr>
          <w:rFonts w:ascii="Times New Roman" w:eastAsia="Times New Roman" w:hAnsi="Times New Roman"/>
          <w:sz w:val="24"/>
          <w:szCs w:val="24"/>
          <w:lang w:eastAsia="ru-RU"/>
        </w:rPr>
        <w:t xml:space="preserve">в размере 5 192,85 тыс. руб., </w:t>
      </w:r>
      <w:r w:rsidRPr="00B806A7">
        <w:rPr>
          <w:rFonts w:ascii="Times New Roman" w:eastAsia="Times New Roman" w:hAnsi="Times New Roman"/>
          <w:color w:val="000000"/>
          <w:sz w:val="24"/>
          <w:szCs w:val="24"/>
          <w:lang w:eastAsia="ru-RU"/>
        </w:rPr>
        <w:t xml:space="preserve">связанный с сокращением пропуска по </w:t>
      </w:r>
      <w:r w:rsidRPr="00B806A7">
        <w:rPr>
          <w:rFonts w:ascii="Times New Roman" w:eastAsia="Times New Roman" w:hAnsi="Times New Roman"/>
          <w:sz w:val="24"/>
          <w:szCs w:val="24"/>
          <w:lang w:eastAsia="ru-RU"/>
        </w:rPr>
        <w:t xml:space="preserve">сети потребителям, присоединенным к сетям организации. </w:t>
      </w:r>
    </w:p>
    <w:p w:rsidR="005D0F08" w:rsidRPr="00B806A7" w:rsidRDefault="005D0F08" w:rsidP="005D0F08">
      <w:pPr>
        <w:spacing w:after="0" w:line="240" w:lineRule="auto"/>
        <w:ind w:firstLine="708"/>
        <w:jc w:val="both"/>
        <w:rPr>
          <w:rFonts w:ascii="Times New Roman" w:eastAsia="Times New Roman" w:hAnsi="Times New Roman"/>
          <w:sz w:val="24"/>
          <w:szCs w:val="24"/>
        </w:rPr>
      </w:pPr>
      <w:r w:rsidRPr="00B806A7">
        <w:rPr>
          <w:rFonts w:ascii="Times New Roman" w:eastAsia="Times New Roman" w:hAnsi="Times New Roman"/>
          <w:sz w:val="24"/>
          <w:szCs w:val="24"/>
          <w:lang w:eastAsia="ru-RU"/>
        </w:rPr>
        <w:t xml:space="preserve">Недополученный доход в части содержания сетей </w:t>
      </w:r>
      <w:r w:rsidRPr="00B806A7">
        <w:rPr>
          <w:rFonts w:ascii="Times New Roman" w:eastAsia="Times New Roman" w:hAnsi="Times New Roman"/>
          <w:bCs/>
          <w:color w:val="000000"/>
          <w:sz w:val="24"/>
          <w:szCs w:val="24"/>
        </w:rPr>
        <w:t xml:space="preserve">рассчитан с учетом требований формулы 7(1) </w:t>
      </w:r>
      <w:r w:rsidRPr="00B806A7">
        <w:rPr>
          <w:rFonts w:ascii="Times New Roman" w:eastAsia="Times New Roman" w:hAnsi="Times New Roman"/>
          <w:sz w:val="24"/>
          <w:szCs w:val="24"/>
          <w:lang w:eastAsia="ru-RU"/>
        </w:rPr>
        <w:t>Методических указаний N 98-э:</w:t>
      </w:r>
    </w:p>
    <w:p w:rsidR="005D0F08" w:rsidRPr="00B806A7" w:rsidRDefault="005D0F08" w:rsidP="005D0F08">
      <w:pPr>
        <w:widowControl w:val="0"/>
        <w:autoSpaceDE w:val="0"/>
        <w:autoSpaceDN w:val="0"/>
        <w:spacing w:after="0" w:line="240" w:lineRule="auto"/>
        <w:ind w:firstLine="53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(244 557,139 МВт.ч* 0,368567</w:t>
      </w:r>
      <w:r w:rsidRPr="00B806A7">
        <w:rPr>
          <w:rFonts w:ascii="Times New Roman" w:eastAsia="Times New Roman" w:hAnsi="Times New Roman"/>
          <w:iCs/>
          <w:sz w:val="24"/>
          <w:szCs w:val="24"/>
          <w:lang w:eastAsia="ru-RU"/>
        </w:rPr>
        <w:t>руб./МВт.ч =  90 135,2 тыс. руб.).</w:t>
      </w:r>
    </w:p>
    <w:p w:rsidR="005D0F08" w:rsidRPr="00B806A7" w:rsidRDefault="005D0F08" w:rsidP="005D0F08">
      <w:pPr>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Таким образом, сумма корректировки по доходам в части содержания сетей составила: </w:t>
      </w:r>
    </w:p>
    <w:p w:rsidR="005D0F08" w:rsidRPr="00B806A7" w:rsidRDefault="005D0F08" w:rsidP="005D0F08">
      <w:pPr>
        <w:spacing w:after="0" w:line="240" w:lineRule="auto"/>
        <w:ind w:firstLine="709"/>
        <w:jc w:val="both"/>
        <w:rPr>
          <w:rFonts w:ascii="Times New Roman" w:eastAsia="Times New Roman" w:hAnsi="Times New Roman"/>
          <w:color w:val="FF0000"/>
          <w:sz w:val="24"/>
          <w:szCs w:val="24"/>
          <w:lang w:eastAsia="ru-RU"/>
        </w:rPr>
      </w:pPr>
      <w:r w:rsidRPr="00B806A7">
        <w:rPr>
          <w:rFonts w:ascii="Times New Roman" w:eastAsia="Times New Roman" w:hAnsi="Times New Roman"/>
          <w:sz w:val="24"/>
          <w:szCs w:val="24"/>
          <w:lang w:eastAsia="ru-RU"/>
        </w:rPr>
        <w:t xml:space="preserve">95 328,1 тыс. руб.- 90 135,2 тыс. руб.= 5 192,9 тыс. руб.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С учетом индексации + 6 269,5 тыс. руб. (5 192,9*1,139* 1,06).</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
          <w:bCs/>
          <w:iCs/>
          <w:sz w:val="24"/>
          <w:szCs w:val="24"/>
          <w:lang w:eastAsia="ru-RU"/>
        </w:rPr>
      </w:pPr>
      <w:r w:rsidRPr="00B806A7">
        <w:rPr>
          <w:rFonts w:ascii="Times New Roman" w:eastAsia="Times New Roman" w:hAnsi="Times New Roman"/>
          <w:b/>
          <w:bCs/>
          <w:iCs/>
          <w:sz w:val="24"/>
          <w:szCs w:val="24"/>
          <w:lang w:eastAsia="ru-RU"/>
        </w:rPr>
        <w:t>Корректировка по факту 2022 года</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За 2022 год фактическая выручка от оказания услуг по передаче электрической энергии составила 243 992,5 тыс. руб., что подтверждается данными раздельного учета Таблицы 1.3. «Показатели раздельного учета доходов и расходов субъекта естественных монополий, оказывающего услуги по передаче электроэнергии (мощности) по электрическим сетям, принадлежащим на праве собственности или ином законном основании территориальным сетевым организациям», формой «Отчет о прибылях и убытках» за 2022 год.</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xml:space="preserve">В обоснование ООО «НГСК» представлены акты об оказанных услуг по передаче электрической энергии и счета-фактуры за 2022 год, предъявленные к оплате АО «РЭС» на основании заключенного договора оказания услуг по передаче электрической энергии.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Вместе с тем, оплаченный АО «РЭС» объем услуг ООО «НГСК» от деятельности по передаче электрической энергии, согласно отчетным данным АО «РЭС» (с учетом корректировочных актов за 2022 год, проведенных АО «РЭС» в январе-августе 2023 года, составил:</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xml:space="preserve">-по зоне ООО «НГСК» 232 010 тыс.руб. с ростом от показателя, принятого при формировании тарифа, на 47 669 тыс.руб. (+25,86%), что обусловлено увеличением относительно плана объёма пропуска электрической энергии по сетям, учитываемого АО «РЭС» при оплате услуг по передаче электрической энергии. Расчёты за услуги по передаче электрической энергии за 2022 год осуществлялись по одноставочному тарифу.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-по зоне ООО ПРФ "АльянсЭнерго" 4 966,6 тыс.руб.  с ростом от показателя, принятого при формировании тарифа, на 125,6 тыс.руб. (+1,23%), что обусловлено увеличением относительно плана объёма пропуска электрической энергии по сетям, учитываемого АО «РЭС» при оплате услуг по передаче электрической энергии. Расчёты за услуги по передаче электрической энергии за 2022 год осуществлялись по двуставочному тарифу.</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Департаментом производилась корректировка НВВ по доходам за 2022 год исходя из признанных объемов оказанных услуг котлодержателем (АО «РЭС») на основании заключенного договора оказания услуг по передаче электрической энергии.</w:t>
      </w:r>
    </w:p>
    <w:p w:rsidR="005D0F08" w:rsidRPr="00B806A7" w:rsidRDefault="005D0F08" w:rsidP="005D0F08">
      <w:pPr>
        <w:spacing w:after="0" w:line="240" w:lineRule="auto"/>
        <w:ind w:firstLine="709"/>
        <w:jc w:val="both"/>
        <w:rPr>
          <w:rFonts w:ascii="Times New Roman CYR" w:eastAsia="Times New Roman" w:hAnsi="Times New Roman CYR" w:cs="Times New Roman CYR"/>
          <w:sz w:val="24"/>
          <w:szCs w:val="24"/>
          <w:lang w:eastAsia="ru-RU"/>
        </w:rPr>
      </w:pPr>
      <w:r w:rsidRPr="00B806A7">
        <w:rPr>
          <w:rFonts w:ascii="Times New Roman CYR" w:eastAsia="Times New Roman" w:hAnsi="Times New Roman CYR" w:cs="Times New Roman CYR"/>
          <w:sz w:val="24"/>
          <w:szCs w:val="24"/>
          <w:lang w:eastAsia="ru-RU"/>
        </w:rPr>
        <w:t>В результате проведенного департаментом анализа за 2022 год установлено, что от деятельности по передаче электрической энергии у ООО «НГСК» образовался излишне полученный доход:</w:t>
      </w:r>
    </w:p>
    <w:p w:rsidR="005D0F08" w:rsidRPr="00B806A7" w:rsidRDefault="005D0F08" w:rsidP="005D0F08">
      <w:pPr>
        <w:spacing w:after="0" w:line="240" w:lineRule="auto"/>
        <w:ind w:firstLine="709"/>
        <w:jc w:val="both"/>
        <w:rPr>
          <w:rFonts w:ascii="Times New Roman CYR" w:eastAsia="Times New Roman" w:hAnsi="Times New Roman CYR" w:cs="Times New Roman CYR"/>
          <w:sz w:val="24"/>
          <w:szCs w:val="24"/>
          <w:lang w:eastAsia="ru-RU"/>
        </w:rPr>
      </w:pPr>
      <w:r w:rsidRPr="00B806A7">
        <w:rPr>
          <w:rFonts w:ascii="Times New Roman CYR" w:eastAsia="Times New Roman" w:hAnsi="Times New Roman CYR" w:cs="Times New Roman CYR"/>
          <w:sz w:val="24"/>
          <w:szCs w:val="24"/>
          <w:lang w:eastAsia="ru-RU"/>
        </w:rPr>
        <w:t>-по зоне ООО «НГСК» в размере 47669,0 тыс. руб., связанный с увеличением пропуска по сети потребителям, присоединенным к сетям организации (в том числе в части содержания электрических сетей – 34014 тыс. руб., в части оплаты потерь –</w:t>
      </w:r>
      <w:r w:rsidRPr="00B806A7">
        <w:rPr>
          <w:rFonts w:ascii="Times New Roman" w:eastAsia="Times New Roman" w:hAnsi="Times New Roman"/>
          <w:sz w:val="24"/>
          <w:szCs w:val="24"/>
          <w:lang w:eastAsia="ru-RU"/>
        </w:rPr>
        <w:t xml:space="preserve"> </w:t>
      </w:r>
      <w:r w:rsidRPr="00B806A7">
        <w:rPr>
          <w:rFonts w:ascii="Times New Roman CYR" w:eastAsia="Times New Roman" w:hAnsi="Times New Roman CYR" w:cs="Times New Roman CYR"/>
          <w:sz w:val="24"/>
          <w:szCs w:val="24"/>
          <w:lang w:eastAsia="ru-RU"/>
        </w:rPr>
        <w:t xml:space="preserve">13656  тыс. руб.). </w:t>
      </w:r>
    </w:p>
    <w:p w:rsidR="005D0F08" w:rsidRPr="00B806A7" w:rsidRDefault="005D0F08" w:rsidP="005D0F08">
      <w:pPr>
        <w:spacing w:after="0" w:line="240" w:lineRule="auto"/>
        <w:ind w:firstLine="709"/>
        <w:jc w:val="both"/>
        <w:rPr>
          <w:rFonts w:ascii="Times New Roman CYR" w:eastAsia="Times New Roman" w:hAnsi="Times New Roman CYR" w:cs="Times New Roman CYR"/>
          <w:sz w:val="24"/>
          <w:szCs w:val="24"/>
          <w:lang w:eastAsia="ru-RU"/>
        </w:rPr>
      </w:pPr>
      <w:r w:rsidRPr="00B806A7">
        <w:rPr>
          <w:rFonts w:ascii="Times New Roman CYR" w:eastAsia="Times New Roman" w:hAnsi="Times New Roman CYR" w:cs="Times New Roman CYR"/>
          <w:sz w:val="24"/>
          <w:szCs w:val="24"/>
          <w:lang w:eastAsia="ru-RU"/>
        </w:rPr>
        <w:t>-по зоне ООО ПРФ "АльянсЭнерго" с 01.07.2022 в размере 60,4 тыс. руб.</w:t>
      </w:r>
    </w:p>
    <w:p w:rsidR="005D0F08" w:rsidRPr="00B806A7" w:rsidRDefault="005D0F08" w:rsidP="005D0F08">
      <w:pPr>
        <w:spacing w:after="0" w:line="240" w:lineRule="auto"/>
        <w:ind w:firstLine="709"/>
        <w:jc w:val="both"/>
        <w:rPr>
          <w:rFonts w:ascii="Times New Roman CYR" w:eastAsia="Times New Roman" w:hAnsi="Times New Roman CYR" w:cs="Times New Roman CYR"/>
          <w:sz w:val="24"/>
          <w:szCs w:val="24"/>
          <w:lang w:eastAsia="ru-RU"/>
        </w:rPr>
      </w:pPr>
      <w:r w:rsidRPr="00B806A7">
        <w:rPr>
          <w:rFonts w:ascii="Times New Roman CYR" w:eastAsia="Times New Roman" w:hAnsi="Times New Roman CYR" w:cs="Times New Roman CYR"/>
          <w:sz w:val="24"/>
          <w:szCs w:val="24"/>
          <w:lang w:eastAsia="ru-RU"/>
        </w:rPr>
        <w:t xml:space="preserve">Излишне полученный доход рассчитан с учетом требований формулы 7(1) Методических указаний N 98-э:  </w:t>
      </w:r>
    </w:p>
    <w:p w:rsidR="005D0F08" w:rsidRPr="00B806A7" w:rsidRDefault="005D0F08" w:rsidP="005D0F08">
      <w:pPr>
        <w:spacing w:after="0" w:line="240" w:lineRule="auto"/>
        <w:ind w:firstLine="709"/>
        <w:jc w:val="both"/>
        <w:rPr>
          <w:rFonts w:ascii="Times New Roman CYR" w:eastAsia="Times New Roman" w:hAnsi="Times New Roman CYR" w:cs="Times New Roman CYR"/>
          <w:sz w:val="24"/>
          <w:szCs w:val="24"/>
          <w:lang w:eastAsia="ru-RU"/>
        </w:rPr>
      </w:pPr>
      <w:r w:rsidRPr="00B806A7">
        <w:rPr>
          <w:rFonts w:ascii="Times New Roman CYR" w:eastAsia="Times New Roman" w:hAnsi="Times New Roman CYR" w:cs="Times New Roman CYR"/>
          <w:sz w:val="24"/>
          <w:szCs w:val="24"/>
          <w:lang w:eastAsia="ru-RU"/>
        </w:rPr>
        <w:t>232 010 - 184 341 = 47 669 тыс. руб.</w:t>
      </w:r>
    </w:p>
    <w:p w:rsidR="005D0F08" w:rsidRPr="00B806A7" w:rsidRDefault="005D0F08" w:rsidP="005D0F08">
      <w:pPr>
        <w:spacing w:after="0" w:line="240" w:lineRule="auto"/>
        <w:ind w:firstLine="709"/>
        <w:jc w:val="both"/>
        <w:rPr>
          <w:rFonts w:ascii="Times New Roman CYR" w:eastAsia="Times New Roman" w:hAnsi="Times New Roman CYR" w:cs="Times New Roman CYR"/>
          <w:sz w:val="24"/>
          <w:szCs w:val="24"/>
          <w:lang w:eastAsia="ru-RU"/>
        </w:rPr>
      </w:pPr>
      <w:r w:rsidRPr="00B806A7">
        <w:rPr>
          <w:rFonts w:ascii="Times New Roman CYR" w:eastAsia="Times New Roman" w:hAnsi="Times New Roman CYR" w:cs="Times New Roman CYR"/>
          <w:sz w:val="24"/>
          <w:szCs w:val="24"/>
          <w:lang w:eastAsia="ru-RU"/>
        </w:rPr>
        <w:t>4 966,6 - 4 906,2 = 60,4 тыс. руб.</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С учетом индексации корректировка составила:(-54133,49) тыс. руб. (-47669*1,058*1,072 - 60,4*1,058*1,072).</w:t>
      </w:r>
    </w:p>
    <w:p w:rsidR="005D0F08" w:rsidRPr="00B806A7" w:rsidRDefault="005D0F08" w:rsidP="005D0F08">
      <w:pPr>
        <w:spacing w:after="0" w:line="240" w:lineRule="auto"/>
        <w:jc w:val="both"/>
        <w:rPr>
          <w:rFonts w:ascii="Times New Roman" w:eastAsia="Times New Roman" w:hAnsi="Times New Roman"/>
          <w:b/>
          <w:sz w:val="24"/>
          <w:szCs w:val="24"/>
          <w:lang w:eastAsia="ru-RU"/>
        </w:rPr>
      </w:pPr>
      <w:r w:rsidRPr="00B806A7">
        <w:rPr>
          <w:rFonts w:ascii="Times New Roman" w:eastAsia="Times New Roman" w:hAnsi="Times New Roman"/>
          <w:b/>
          <w:sz w:val="24"/>
          <w:szCs w:val="24"/>
          <w:lang w:eastAsia="ru-RU"/>
        </w:rPr>
        <w:t>Корректировки с учетом изменения полезного отпуска и цен на электрическую энергию на 2022-2024 годы</w:t>
      </w:r>
    </w:p>
    <w:p w:rsidR="005D0F08" w:rsidRPr="00B806A7" w:rsidRDefault="005D0F08" w:rsidP="005D0F08">
      <w:pPr>
        <w:tabs>
          <w:tab w:val="left" w:pos="0"/>
          <w:tab w:val="left" w:pos="993"/>
        </w:tabs>
        <w:spacing w:after="0" w:line="240" w:lineRule="auto"/>
        <w:ind w:firstLine="709"/>
        <w:jc w:val="both"/>
        <w:rPr>
          <w:rFonts w:ascii="Times New Roman" w:eastAsia="Times New Roman" w:hAnsi="Times New Roman"/>
          <w:sz w:val="24"/>
          <w:szCs w:val="24"/>
          <w:u w:val="single"/>
          <w:lang w:eastAsia="ru-RU"/>
        </w:rPr>
      </w:pPr>
      <w:r w:rsidRPr="00B806A7">
        <w:rPr>
          <w:rFonts w:ascii="Times New Roman" w:eastAsia="Times New Roman" w:hAnsi="Times New Roman"/>
          <w:sz w:val="24"/>
          <w:szCs w:val="24"/>
          <w:u w:val="single"/>
          <w:lang w:eastAsia="ru-RU"/>
        </w:rPr>
        <w:t>На 2022-2023</w:t>
      </w:r>
    </w:p>
    <w:p w:rsidR="005D0F08" w:rsidRPr="00B806A7" w:rsidRDefault="005D0F08" w:rsidP="005D0F08">
      <w:pPr>
        <w:tabs>
          <w:tab w:val="left" w:pos="0"/>
          <w:tab w:val="left" w:pos="993"/>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При установлении НВВ и тарифов ООО НГСК» на 2022-2024 годы корректировка, связанная с изменением полезного отпуска и цен на электрическую энергию рассчитывалась по формуле 8 Методических указаний № 98-э:</w:t>
      </w:r>
    </w:p>
    <w:p w:rsidR="005D0F08" w:rsidRPr="00B806A7" w:rsidRDefault="00B806A7" w:rsidP="005D0F08">
      <w:pPr>
        <w:tabs>
          <w:tab w:val="left" w:pos="0"/>
          <w:tab w:val="left" w:pos="993"/>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noProof/>
          <w:position w:val="-19"/>
          <w:sz w:val="24"/>
          <w:szCs w:val="24"/>
          <w:lang w:eastAsia="ru-RU"/>
        </w:rPr>
        <w:pict>
          <v:shape id="Рисунок 27" o:spid="_x0000_i1030" type="#_x0000_t75" style="width:414.75pt;height:26.45pt;visibility:visible">
            <v:imagedata r:id="rId23" o:title=""/>
          </v:shape>
        </w:pict>
      </w:r>
      <w:r w:rsidR="005D0F08" w:rsidRPr="00B806A7">
        <w:rPr>
          <w:rFonts w:ascii="Times New Roman" w:eastAsia="Times New Roman" w:hAnsi="Times New Roman"/>
          <w:sz w:val="24"/>
          <w:szCs w:val="24"/>
          <w:lang w:eastAsia="ru-RU"/>
        </w:rPr>
        <w:t xml:space="preserve"> </w:t>
      </w:r>
    </w:p>
    <w:p w:rsidR="005D0F08" w:rsidRPr="00B806A7" w:rsidRDefault="005D0F08" w:rsidP="005D0F08">
      <w:pPr>
        <w:tabs>
          <w:tab w:val="left" w:pos="0"/>
          <w:tab w:val="left" w:pos="993"/>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где:</w:t>
      </w:r>
    </w:p>
    <w:p w:rsidR="005D0F08" w:rsidRPr="00B806A7" w:rsidRDefault="005D0F08" w:rsidP="005D0F08">
      <w:pPr>
        <w:tabs>
          <w:tab w:val="left" w:pos="0"/>
          <w:tab w:val="left" w:pos="993"/>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  - фактический объем отпуска электрической энергии в сеть территориальной сетевой организации, определяемый регулирующими органами в (i-2)-том году долгосрочного периода регулирования;</w:t>
      </w:r>
    </w:p>
    <w:p w:rsidR="005D0F08" w:rsidRPr="00B806A7" w:rsidRDefault="005D0F08" w:rsidP="005D0F08">
      <w:pPr>
        <w:tabs>
          <w:tab w:val="left" w:pos="0"/>
          <w:tab w:val="left" w:pos="993"/>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  - уровень потерь электрической энергии при ее передаче по электрическим сетям, установленный регулирующим органом на долгосрочный период регулирования, к которому относится год (i-2), в соответствии с пунктом 40(1) Основ ценообразования;</w:t>
      </w:r>
    </w:p>
    <w:p w:rsidR="005D0F08" w:rsidRPr="00B806A7" w:rsidRDefault="005D0F08" w:rsidP="005D0F08">
      <w:pPr>
        <w:tabs>
          <w:tab w:val="left" w:pos="0"/>
          <w:tab w:val="left" w:pos="993"/>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ЦПi-2 - прогнозная цена покупки потерь электрической энергии в сетях (с учетом мощности) в году i-2, учтенная при установлении тарифа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w:t>
      </w:r>
    </w:p>
    <w:p w:rsidR="005D0F08" w:rsidRPr="00B806A7" w:rsidRDefault="005D0F08" w:rsidP="005D0F08">
      <w:pPr>
        <w:tabs>
          <w:tab w:val="left" w:pos="0"/>
          <w:tab w:val="left" w:pos="993"/>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  - средневзвешенная фактическая цена покупки потерь электрической энергии в сетях (с учетом мощности) в году i-2;</w:t>
      </w:r>
    </w:p>
    <w:p w:rsidR="005D0F08" w:rsidRPr="00B806A7" w:rsidRDefault="005D0F08" w:rsidP="005D0F08">
      <w:pPr>
        <w:tabs>
          <w:tab w:val="left" w:pos="0"/>
          <w:tab w:val="left" w:pos="993"/>
        </w:tabs>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  - величина фактических потерь электрической энергии в сетях в году i-2.</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С учетом данной нормы в расчет корректировки департаментом принимались следующие показатели: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фактические объемы отпуска электрической энергии в сеть территориальной сетевой организации, определенный департаментом за 2020-2021 годы на основании данных согласованных АО «РЭС», которые также учитывались при корректировке доходов ООО «НГСК» за отчетный период, подтвержденных документально (акты, счета –фактуры, отчетные данные из отчета производственно-хозяйственной деятельности АО «РЭС», предоставляемые в департамент);</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 xml:space="preserve">уровень потерь электрической энергии при ее передаче по электрическим сетям, установленный регулирующим органом на долгосрочный период регулирования, к которому относится год (i-2), в соответствии с пунктом 40(1) Основ ценообразования, соответственно в расчет принимались установленные департаментом уровни потери: на 2020 год - 8,12% для долгосрочного периода регулирования 2018-2020; на 2021 год - 8,61% для долгосрочного периода регулирования 201-2025 годы.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прогнозные цены покупки потерь электрической энергии в сетях (с учетом мощности) в году i-2, учтенная при установлении тарифа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 в расчет принимались прогнозные цены покупки потерь электрической энергии в сетях в соответствии с принятыми департаментом решениями по корректировке НВВ и тарифов для ООО «НГСК» на 2020-2021 годы;</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средневзвешенные фактические цены покупки потерь электрической энергии в сетях (с учетом мощности) в году i-2 - принималась департаментом в расчет на основании средневзвешенной фактической цены покупки потерь электрической энергии в сетях, подтвержденной документально. В обоснование представлены счета-фактуры, выставленные ГП АО «Новосибирскэнергосбыт» за 2020-2021 годы;</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величины фактических потерь электрической энергии в сетях в году i-2 - принималась департаментом в расчет фактические потери электрической энергии в сетях, подтвержденные документально. В обоснование представлены счета-фактуры, выставленные ГП АО «Новосибирскэнергосбыт» за 2020-2021 годы.</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Таким образом, учтенные в составе НВВ ООО «НГСК на 2022-2023 годы корректировки, связанные с изменением полезного отпуска и цен, подтверждены организацией документально, а, следовательно соответствуют критериям экономической обоснованности и пересмотру не подлежат.</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u w:val="single"/>
          <w:lang w:eastAsia="ru-RU"/>
        </w:rPr>
      </w:pPr>
      <w:r w:rsidRPr="00B806A7">
        <w:rPr>
          <w:rFonts w:ascii="Times New Roman" w:eastAsia="Times New Roman" w:hAnsi="Times New Roman"/>
          <w:bCs/>
          <w:iCs/>
          <w:sz w:val="24"/>
          <w:szCs w:val="24"/>
          <w:u w:val="single"/>
          <w:lang w:eastAsia="ru-RU"/>
        </w:rPr>
        <w:t>2024 год</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 xml:space="preserve">В соответствии с пунктом 11(2) Методических указаний № 98-э в случае учета в необходимой валовой выручке на год i-2 экономии расходов на оплату потерь электрической энергии в соответствии с пунктом 34(3) Основ ценообразования № 1178 корректировка с учетом изменения полезного отпуска и цен на электрическую энергию рассчитывается по формуле 9.10 Методических указаний № 98-э. </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В экспертном заключении на 2022 год департаментом некорректно отражено, что при расчете учитывалась экономия расходов на оплату потерь электрической энергии, рассчитанная в соответствии с пунктом 34(3) Основ ценообразования № 1178, поскольку экспертом департамента была допущена техническая ошибка при подготовке указанного заключения.</w: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806A7">
        <w:rPr>
          <w:rFonts w:ascii="Times New Roman" w:eastAsia="Times New Roman" w:hAnsi="Times New Roman"/>
          <w:bCs/>
          <w:iCs/>
          <w:sz w:val="24"/>
          <w:szCs w:val="24"/>
          <w:lang w:eastAsia="ru-RU"/>
        </w:rPr>
        <w:t>Следует отметить, что расчет экономии расходов на оплату потерь электрической энергии на 2022 год выполнен по формуле 34(2) Основ ценообразования № 1178 (расчет прилагался к Возражениям к Акту проверки)</w:t>
      </w:r>
    </w:p>
    <w:p w:rsidR="005D0F08" w:rsidRPr="00B806A7" w:rsidRDefault="00B806A7" w:rsidP="005D0F08">
      <w:pPr>
        <w:autoSpaceDE w:val="0"/>
        <w:autoSpaceDN w:val="0"/>
        <w:adjustRightInd w:val="0"/>
        <w:spacing w:after="0" w:line="240" w:lineRule="auto"/>
        <w:jc w:val="both"/>
        <w:rPr>
          <w:rFonts w:ascii="Times New Roman" w:eastAsia="Times New Roman" w:hAnsi="Times New Roman"/>
          <w:bCs/>
          <w:iCs/>
          <w:sz w:val="24"/>
          <w:szCs w:val="24"/>
          <w:lang w:eastAsia="ru-RU"/>
        </w:rPr>
      </w:pPr>
      <w:r w:rsidRPr="00B806A7">
        <w:rPr>
          <w:rFonts w:ascii="Times New Roman" w:eastAsia="Times New Roman" w:hAnsi="Times New Roman"/>
          <w:sz w:val="24"/>
          <w:szCs w:val="24"/>
          <w:lang w:eastAsia="ru-RU"/>
        </w:rPr>
        <w:pict>
          <v:shape id="_x0000_i1031" type="#_x0000_t75" style="width:496pt;height:323.7pt">
            <v:imagedata r:id="rId24" o:title=""/>
          </v:shape>
        </w:pict>
      </w:r>
    </w:p>
    <w:p w:rsidR="005D0F08" w:rsidRPr="00B806A7" w:rsidRDefault="005D0F08" w:rsidP="005D0F08">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p>
    <w:p w:rsidR="005D0F08" w:rsidRPr="00B806A7" w:rsidRDefault="005D0F08" w:rsidP="005D0F08">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B806A7">
        <w:rPr>
          <w:rFonts w:ascii="Times New Roman" w:eastAsia="Times New Roman" w:hAnsi="Times New Roman"/>
          <w:bCs/>
          <w:iCs/>
          <w:sz w:val="24"/>
          <w:szCs w:val="24"/>
          <w:lang w:eastAsia="ru-RU"/>
        </w:rPr>
        <w:t xml:space="preserve">Таким образом, при установлении НВВ и тарифов ООО НГСК» на 2024 год корректировка, связанная с изменением полезного отпуска и цен на электрическую энергию, рассчитывалась по формуле </w:t>
      </w:r>
      <w:r w:rsidRPr="00B806A7">
        <w:rPr>
          <w:rFonts w:ascii="Times New Roman CYR" w:eastAsia="Times New Roman" w:hAnsi="Times New Roman CYR" w:cs="Times New Roman CYR"/>
          <w:sz w:val="24"/>
          <w:szCs w:val="24"/>
          <w:lang w:eastAsia="ru-RU"/>
        </w:rPr>
        <w:t>9.9 Методических указаний № 98-э:</w:t>
      </w:r>
    </w:p>
    <w:p w:rsidR="005D0F08" w:rsidRPr="00B806A7" w:rsidRDefault="00B806A7" w:rsidP="005D0F08">
      <w:pPr>
        <w:spacing w:after="0" w:line="240" w:lineRule="auto"/>
        <w:ind w:firstLine="709"/>
        <w:jc w:val="both"/>
        <w:rPr>
          <w:rFonts w:ascii="Times New Roman CYR" w:eastAsia="Times New Roman" w:hAnsi="Times New Roman CYR" w:cs="Times New Roman CYR"/>
          <w:sz w:val="24"/>
          <w:szCs w:val="24"/>
          <w:lang w:eastAsia="ru-RU"/>
        </w:rPr>
      </w:pPr>
      <w:r w:rsidRPr="00B806A7">
        <w:rPr>
          <w:rFonts w:ascii="Times New Roman" w:eastAsia="Times New Roman" w:hAnsi="Times New Roman"/>
          <w:noProof/>
          <w:position w:val="-14"/>
          <w:sz w:val="24"/>
          <w:szCs w:val="24"/>
          <w:lang w:eastAsia="ru-RU"/>
        </w:rPr>
        <w:pict>
          <v:shape id="Рисунок 4" o:spid="_x0000_i1032" type="#_x0000_t75" style="width:368pt;height:26.45pt;visibility:visible">
            <v:imagedata r:id="rId25" o:title=""/>
          </v:shape>
        </w:pict>
      </w:r>
    </w:p>
    <w:p w:rsidR="005D0F08" w:rsidRPr="00B806A7" w:rsidRDefault="005D0F08" w:rsidP="005D0F08">
      <w:pPr>
        <w:spacing w:after="0" w:line="240" w:lineRule="auto"/>
        <w:ind w:firstLine="709"/>
        <w:jc w:val="both"/>
        <w:rPr>
          <w:rFonts w:ascii="Times New Roman CYR" w:eastAsia="Times New Roman" w:hAnsi="Times New Roman CYR" w:cs="Times New Roman CYR"/>
          <w:sz w:val="24"/>
          <w:szCs w:val="24"/>
          <w:lang w:eastAsia="ru-RU"/>
        </w:rPr>
      </w:pPr>
      <w:r w:rsidRPr="00B806A7">
        <w:rPr>
          <w:rFonts w:ascii="Times New Roman CYR" w:eastAsia="Times New Roman" w:hAnsi="Times New Roman CYR" w:cs="Times New Roman CYR"/>
          <w:sz w:val="24"/>
          <w:szCs w:val="24"/>
          <w:lang w:eastAsia="ru-RU"/>
        </w:rPr>
        <w:t>где:</w:t>
      </w:r>
    </w:p>
    <w:p w:rsidR="005D0F08" w:rsidRPr="00B806A7" w:rsidRDefault="005D0F08" w:rsidP="005D0F08">
      <w:pPr>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B806A7">
        <w:rPr>
          <w:rFonts w:ascii="Times New Roman CYR" w:eastAsia="Times New Roman" w:hAnsi="Times New Roman CYR" w:cs="Times New Roman CYR"/>
          <w:sz w:val="24"/>
          <w:szCs w:val="24"/>
          <w:lang w:eastAsia="ru-RU"/>
        </w:rPr>
        <w:t xml:space="preserve">   </w:t>
      </w:r>
      <w:r w:rsidR="00B806A7" w:rsidRPr="00B806A7">
        <w:rPr>
          <w:rFonts w:ascii="Times New Roman" w:eastAsia="Times New Roman" w:hAnsi="Times New Roman"/>
          <w:noProof/>
          <w:position w:val="-10"/>
          <w:sz w:val="24"/>
          <w:szCs w:val="24"/>
          <w:lang w:eastAsia="ru-RU"/>
        </w:rPr>
        <w:pict>
          <v:shape id="Рисунок 14" o:spid="_x0000_i1033" type="#_x0000_t75" style="width:40pt;height:22.15pt;visibility:visible">
            <v:imagedata r:id="rId26" o:title=""/>
          </v:shape>
        </w:pict>
      </w:r>
      <w:r w:rsidRPr="00B806A7">
        <w:rPr>
          <w:rFonts w:ascii="Times New Roman" w:eastAsia="Times New Roman" w:hAnsi="Times New Roman"/>
          <w:sz w:val="24"/>
          <w:szCs w:val="24"/>
          <w:lang w:eastAsia="ru-RU"/>
        </w:rPr>
        <w:t xml:space="preserve"> </w:t>
      </w:r>
      <w:r w:rsidR="00B806A7" w:rsidRPr="00B806A7">
        <w:rPr>
          <w:rFonts w:ascii="Times New Roman" w:eastAsia="Times New Roman" w:hAnsi="Times New Roman"/>
          <w:noProof/>
          <w:position w:val="-10"/>
          <w:sz w:val="24"/>
          <w:szCs w:val="24"/>
          <w:lang w:eastAsia="ru-RU"/>
        </w:rPr>
        <w:pict>
          <v:shape id="Рисунок 5" o:spid="_x0000_i1034" type="#_x0000_t75" style="width:40pt;height:22.15pt;visibility:visible">
            <v:imagedata r:id="rId27" o:title=""/>
          </v:shape>
        </w:pict>
      </w:r>
      <w:r w:rsidRPr="00B806A7">
        <w:rPr>
          <w:rFonts w:ascii="Times New Roman" w:eastAsia="Times New Roman" w:hAnsi="Times New Roman"/>
          <w:sz w:val="24"/>
          <w:szCs w:val="24"/>
          <w:lang w:eastAsia="ru-RU"/>
        </w:rPr>
        <w:t xml:space="preserve"> - соответственно плановый и фактический объем отпуска электрической энергии в сеть ООО «НГСК» определены департаментом за год i-2 долгосрочного периода регулирования – при корректировке учитывались плановая величина, учтенная при установлении НВВ и тарифов ООО «НГСК на 2022 год, фактическая величина отпуска электрической энергии в сеть организации на основании данных согласованных АО «РЭС», которые также учитывались при корректировке доходов ООО «НГСК» за отчетный период, подтвержденных документально (акты, счета –фактуры, отчетные данные из отчета производственно-хозяйственной деятельности АО «РЭС», предоставляемые в департамент);</w:t>
      </w:r>
    </w:p>
    <w:p w:rsidR="005D0F08" w:rsidRPr="00B806A7" w:rsidRDefault="00B806A7" w:rsidP="005D0F08">
      <w:pPr>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B806A7">
        <w:rPr>
          <w:rFonts w:ascii="Times New Roman" w:eastAsia="Times New Roman" w:hAnsi="Times New Roman"/>
          <w:noProof/>
          <w:position w:val="-10"/>
          <w:sz w:val="24"/>
          <w:szCs w:val="24"/>
          <w:lang w:eastAsia="ru-RU"/>
        </w:rPr>
        <w:pict>
          <v:shape id="Рисунок 6" o:spid="_x0000_i1035" type="#_x0000_t75" style="width:31.4pt;height:22.15pt;visibility:visible">
            <v:imagedata r:id="rId28" o:title=""/>
          </v:shape>
        </w:pict>
      </w:r>
      <w:r w:rsidR="005D0F08" w:rsidRPr="00B806A7">
        <w:rPr>
          <w:rFonts w:ascii="Times New Roman" w:eastAsia="Times New Roman" w:hAnsi="Times New Roman"/>
          <w:sz w:val="24"/>
          <w:szCs w:val="24"/>
          <w:lang w:eastAsia="ru-RU"/>
        </w:rPr>
        <w:t xml:space="preserve"> - уровень потерь электрической энергии при ее передаче по электрическим сетям, установленный департаментом на долгосрочный период регулирования, к которому относится год i-2, в соответствии с </w:t>
      </w:r>
      <w:hyperlink r:id="rId29" w:history="1">
        <w:r w:rsidR="005D0F08" w:rsidRPr="00B806A7">
          <w:rPr>
            <w:rFonts w:ascii="Times New Roman" w:eastAsia="Times New Roman" w:hAnsi="Times New Roman"/>
            <w:color w:val="0000FF"/>
            <w:sz w:val="24"/>
            <w:szCs w:val="24"/>
            <w:lang w:eastAsia="ru-RU"/>
          </w:rPr>
          <w:t>пунктом 40(1)</w:t>
        </w:r>
      </w:hyperlink>
      <w:r w:rsidR="005D0F08" w:rsidRPr="00B806A7">
        <w:rPr>
          <w:rFonts w:ascii="Times New Roman" w:eastAsia="Times New Roman" w:hAnsi="Times New Roman"/>
          <w:sz w:val="24"/>
          <w:szCs w:val="24"/>
          <w:lang w:eastAsia="ru-RU"/>
        </w:rPr>
        <w:t xml:space="preserve"> Основ ценообразования -  - 8,61% для долгосрочного периода регулирования 201-2025 годы.;</w:t>
      </w:r>
    </w:p>
    <w:p w:rsidR="005D0F08" w:rsidRPr="00B806A7" w:rsidRDefault="005D0F08" w:rsidP="005D0F08">
      <w:pPr>
        <w:spacing w:after="0" w:line="240" w:lineRule="auto"/>
        <w:ind w:firstLine="709"/>
        <w:jc w:val="both"/>
        <w:rPr>
          <w:rFonts w:ascii="Times New Roman CYR" w:eastAsia="Times New Roman" w:hAnsi="Times New Roman CYR" w:cs="Times New Roman CYR"/>
          <w:sz w:val="24"/>
          <w:szCs w:val="24"/>
          <w:lang w:eastAsia="ru-RU"/>
        </w:rPr>
      </w:pPr>
      <w:r w:rsidRPr="00B806A7">
        <w:rPr>
          <w:rFonts w:ascii="Times New Roman CYR" w:eastAsia="Times New Roman" w:hAnsi="Times New Roman CYR" w:cs="Times New Roman CYR"/>
          <w:sz w:val="24"/>
          <w:szCs w:val="24"/>
          <w:lang w:eastAsia="ru-RU"/>
        </w:rPr>
        <w:t xml:space="preserve"> Цпi-2 - прогнозная цена покупки потерь электрической энергии в сетях (с учетом мощности) в году i-2, учтенная при установлении тарифа ООО «НГСК» на 2022 год</w:t>
      </w:r>
    </w:p>
    <w:p w:rsidR="005D0F08" w:rsidRPr="00B806A7" w:rsidRDefault="00B806A7" w:rsidP="005D0F08">
      <w:pPr>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B806A7">
        <w:rPr>
          <w:rFonts w:ascii="Times New Roman" w:eastAsia="Times New Roman" w:hAnsi="Times New Roman"/>
          <w:noProof/>
          <w:position w:val="-10"/>
          <w:sz w:val="24"/>
          <w:szCs w:val="24"/>
          <w:lang w:eastAsia="ru-RU"/>
        </w:rPr>
        <w:pict>
          <v:shape id="Рисунок 21" o:spid="_x0000_i1036" type="#_x0000_t75" style="width:35.1pt;height:22.15pt;visibility:visible">
            <v:imagedata r:id="rId30" o:title=""/>
          </v:shape>
        </w:pict>
      </w:r>
      <w:r w:rsidR="005D0F08" w:rsidRPr="00B806A7">
        <w:rPr>
          <w:rFonts w:ascii="Times New Roman" w:eastAsia="Times New Roman" w:hAnsi="Times New Roman"/>
          <w:sz w:val="24"/>
          <w:szCs w:val="24"/>
          <w:lang w:eastAsia="ru-RU"/>
        </w:rPr>
        <w:t xml:space="preserve"> - средневзвешенная фактическая цена покупки потерь электрической энергии в сетях (с учетом мощности) в году i-2 на основании средневзвешенной фактической цены покупки потерь электрической энергии в сетях, подтвержденной документально. В обоснование представлены счета-фактуры, выставленные ГП АО «Новосибирскэнергосбыт» за 2022 год;</w:t>
      </w:r>
    </w:p>
    <w:p w:rsidR="005D0F08" w:rsidRPr="00B806A7" w:rsidRDefault="00B806A7" w:rsidP="005D0F08">
      <w:pPr>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B806A7">
        <w:rPr>
          <w:rFonts w:ascii="Times New Roman" w:eastAsia="Times New Roman" w:hAnsi="Times New Roman"/>
          <w:noProof/>
          <w:position w:val="-10"/>
          <w:sz w:val="24"/>
          <w:szCs w:val="24"/>
          <w:lang w:eastAsia="ru-RU"/>
        </w:rPr>
        <w:pict>
          <v:shape id="Рисунок 7" o:spid="_x0000_i1037" type="#_x0000_t75" style="width:28.3pt;height:22.15pt;visibility:visible">
            <v:imagedata r:id="rId31" o:title=""/>
          </v:shape>
        </w:pict>
      </w:r>
      <w:r w:rsidR="005D0F08" w:rsidRPr="00B806A7">
        <w:rPr>
          <w:rFonts w:ascii="Times New Roman" w:eastAsia="Times New Roman" w:hAnsi="Times New Roman"/>
          <w:sz w:val="24"/>
          <w:szCs w:val="24"/>
          <w:lang w:eastAsia="ru-RU"/>
        </w:rPr>
        <w:t xml:space="preserve"> - величина фактических потерь электрической энергии в сетях в году i-2 В обоснование представлены счета-фактуры, выставленные ГП АО «Новосибирскэнергосбыт» за 2022 годы, а также письма АО «Новосибирскэнергосбыт», подтверждающие корректировки, проведенные в течение 2023 года за 2022 год.</w:t>
      </w:r>
    </w:p>
    <w:p w:rsidR="005D0F08" w:rsidRPr="00B806A7" w:rsidRDefault="005D0F08" w:rsidP="005D0F08">
      <w:pPr>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B806A7">
        <w:rPr>
          <w:rFonts w:ascii="Times New Roman" w:eastAsia="Times New Roman" w:hAnsi="Times New Roman"/>
          <w:sz w:val="24"/>
          <w:szCs w:val="24"/>
          <w:lang w:eastAsia="ru-RU"/>
        </w:rPr>
        <w:t>Таким образом, учтенная в составе НВВ ООО «НГСК на 2024 годы корректировка, связанная с изменением полезного отпуска и цен, подтверждена организацией документально, и выполнена на основании формул, предусмотренных Методическими указаниями № 98-э, а, следовательно, признана экономически обоснованной и пересмотру не подлежит.</w:t>
      </w:r>
    </w:p>
    <w:p w:rsidR="000A17A8" w:rsidRPr="00B806A7" w:rsidRDefault="000A17A8" w:rsidP="000A17A8">
      <w:pPr>
        <w:autoSpaceDE w:val="0"/>
        <w:autoSpaceDN w:val="0"/>
        <w:adjustRightInd w:val="0"/>
        <w:spacing w:after="0" w:line="240" w:lineRule="auto"/>
        <w:ind w:firstLine="709"/>
        <w:jc w:val="both"/>
        <w:rPr>
          <w:rFonts w:ascii="Times New Roman" w:hAnsi="Times New Roman"/>
          <w:sz w:val="24"/>
          <w:szCs w:val="24"/>
        </w:rPr>
      </w:pPr>
      <w:r w:rsidRPr="00B806A7">
        <w:rPr>
          <w:rFonts w:ascii="Times New Roman" w:hAnsi="Times New Roman"/>
          <w:b/>
          <w:sz w:val="24"/>
          <w:szCs w:val="24"/>
        </w:rPr>
        <w:t>Раздел 6. «Расходы на покупку потерь</w:t>
      </w:r>
      <w:r w:rsidRPr="00B806A7">
        <w:rPr>
          <w:rFonts w:ascii="Times New Roman" w:hAnsi="Times New Roman"/>
          <w:sz w:val="24"/>
          <w:szCs w:val="24"/>
        </w:rPr>
        <w:t>»:</w:t>
      </w:r>
    </w:p>
    <w:p w:rsidR="000A17A8" w:rsidRPr="00B806A7" w:rsidRDefault="000A17A8" w:rsidP="000A17A8">
      <w:pPr>
        <w:autoSpaceDE w:val="0"/>
        <w:autoSpaceDN w:val="0"/>
        <w:adjustRightInd w:val="0"/>
        <w:spacing w:after="0"/>
        <w:ind w:firstLine="709"/>
        <w:jc w:val="both"/>
        <w:rPr>
          <w:rFonts w:ascii="Times New Roman" w:hAnsi="Times New Roman"/>
          <w:sz w:val="24"/>
          <w:szCs w:val="24"/>
        </w:rPr>
      </w:pPr>
      <w:r w:rsidRPr="00B806A7">
        <w:rPr>
          <w:rFonts w:ascii="Times New Roman" w:hAnsi="Times New Roman"/>
          <w:sz w:val="24"/>
          <w:szCs w:val="24"/>
        </w:rPr>
        <w:t>Уровень потерь электрической энергии при ее передаче по электрическим сетям организации на 2021-2025 г.г. определён департаментом в соответствии с пунктом 40(1) Основ ценообразования как минимальное значение из норматива потерь электрической энергии при ее передаче по электрическим сетям для соответствующей группы территориальных сетевых организаций на соответствующем уровне напряжения, утвержденного Министерством энергетики Российской Федерации (приказ Минэнерго от 26.09.2017 № 887), и уровня фактических потерь электрической энергии при ее передаче по электрическим сетям территориальной сетевой организации на соответствующем уровне напряжения за последний истекший год (факт 2019 года).</w:t>
      </w:r>
    </w:p>
    <w:p w:rsidR="000A17A8" w:rsidRPr="00B806A7" w:rsidRDefault="000A17A8" w:rsidP="000A17A8">
      <w:pPr>
        <w:autoSpaceDE w:val="0"/>
        <w:autoSpaceDN w:val="0"/>
        <w:adjustRightInd w:val="0"/>
        <w:spacing w:after="0"/>
        <w:ind w:firstLine="709"/>
        <w:jc w:val="both"/>
        <w:rPr>
          <w:rFonts w:ascii="Times New Roman" w:hAnsi="Times New Roman"/>
          <w:sz w:val="24"/>
          <w:szCs w:val="24"/>
        </w:rPr>
      </w:pPr>
      <w:r w:rsidRPr="00B806A7">
        <w:rPr>
          <w:rFonts w:ascii="Times New Roman" w:hAnsi="Times New Roman"/>
          <w:sz w:val="24"/>
          <w:szCs w:val="24"/>
        </w:rPr>
        <w:t>Расчёт проведён на основании фактических показателей за 2019 год, предоставленных в адрес департамента письмом гарантирующего поставщика на территории Новосибирской области АО «Новосибирскэнергосбыт» № ОРЭ-07762/20 от 11.03.2020 о предоставлении информации по фактическим объемам ТСО за 2019 год, имеющего договора энергоснабжения со всеми потребителями, подключенными к сетям ООО «НГСК» и договор купли-продажи электрической энергии в целях компенсации потерь ООО «НГСК». Расчёт представлен в приложении к настоящему Заключении. Отклонения от расчёта, предоставленного ООО «НГСК» департаментом не выявлено.</w:t>
      </w:r>
    </w:p>
    <w:p w:rsidR="000A17A8" w:rsidRPr="00B806A7" w:rsidRDefault="000A17A8" w:rsidP="000A17A8">
      <w:pPr>
        <w:autoSpaceDE w:val="0"/>
        <w:autoSpaceDN w:val="0"/>
        <w:adjustRightInd w:val="0"/>
        <w:spacing w:after="0"/>
        <w:ind w:firstLine="709"/>
        <w:jc w:val="both"/>
        <w:rPr>
          <w:rFonts w:ascii="Times New Roman" w:hAnsi="Times New Roman"/>
          <w:sz w:val="24"/>
          <w:szCs w:val="24"/>
        </w:rPr>
      </w:pPr>
      <w:r w:rsidRPr="00B806A7">
        <w:rPr>
          <w:rFonts w:ascii="Times New Roman" w:hAnsi="Times New Roman"/>
          <w:sz w:val="24"/>
          <w:szCs w:val="24"/>
        </w:rPr>
        <w:t>Как видно из расчёта фактический норматив потерь по уровням напряжения не превышает норматива потерь электрической энергии при ее передаче по электрическим сетям для соответствующей группы территориальных сетевых организаций на соответствующем уровне напряжения, утвержденного Министерством энергетики Российской Федерации. На основании вышеизложенного уровень потерь электрической энергии при ее передаче по электрическим сетям организации на 2021-2025 г.г принят в размере 8,61% (на уровне факта 2019 года).</w:t>
      </w:r>
    </w:p>
    <w:p w:rsidR="000A17A8" w:rsidRPr="00B806A7" w:rsidRDefault="000A17A8" w:rsidP="000A17A8">
      <w:pPr>
        <w:autoSpaceDE w:val="0"/>
        <w:autoSpaceDN w:val="0"/>
        <w:adjustRightInd w:val="0"/>
        <w:spacing w:after="0"/>
        <w:ind w:firstLine="709"/>
        <w:jc w:val="both"/>
        <w:rPr>
          <w:rFonts w:ascii="Times New Roman" w:hAnsi="Times New Roman"/>
          <w:sz w:val="24"/>
          <w:szCs w:val="24"/>
        </w:rPr>
      </w:pPr>
      <w:r w:rsidRPr="00B806A7">
        <w:rPr>
          <w:rFonts w:ascii="Times New Roman" w:hAnsi="Times New Roman"/>
          <w:sz w:val="24"/>
          <w:szCs w:val="24"/>
        </w:rPr>
        <w:t>Во исполнение Предписания департаментом дополнительно произведен учитываемых при установлении НВВ и тарифов на услуги по передаче электрической для ООО «НГСК» на 2022-2024 годы расходов на покупку потерь электрической энергии, в том числе:</w:t>
      </w:r>
    </w:p>
    <w:p w:rsidR="000A17A8" w:rsidRPr="00B806A7" w:rsidRDefault="000A17A8" w:rsidP="000A17A8">
      <w:pPr>
        <w:spacing w:after="0"/>
        <w:ind w:firstLine="709"/>
        <w:jc w:val="both"/>
        <w:rPr>
          <w:rFonts w:ascii="Times New Roman" w:hAnsi="Times New Roman"/>
          <w:sz w:val="24"/>
          <w:szCs w:val="24"/>
        </w:rPr>
      </w:pPr>
      <w:r w:rsidRPr="00B806A7">
        <w:rPr>
          <w:rFonts w:ascii="Times New Roman" w:hAnsi="Times New Roman"/>
          <w:sz w:val="24"/>
          <w:szCs w:val="24"/>
        </w:rPr>
        <w:t>на 2022 год в размере 52804,95 тыс. руб. и сформированы исходя из объема потерь в размере 23,2224 млн. кВт.ч., рассчитанного исходя из установленного уровня потерь 8,61% и прогнозируемого тарифа покупки потерь на 2022 год в размере 2 273,88 руб./МВтч. Снижение относительно величины, учтенной при установлении НВВ и тарифов ООО «НГСК на 2022 год, составило 0 тыс. руб.;</w:t>
      </w:r>
    </w:p>
    <w:p w:rsidR="000A17A8" w:rsidRPr="00B806A7" w:rsidRDefault="000A17A8" w:rsidP="000A17A8">
      <w:pPr>
        <w:spacing w:after="0"/>
        <w:ind w:firstLine="709"/>
        <w:jc w:val="both"/>
        <w:rPr>
          <w:rFonts w:ascii="Times New Roman" w:hAnsi="Times New Roman"/>
          <w:sz w:val="24"/>
          <w:szCs w:val="24"/>
        </w:rPr>
      </w:pPr>
      <w:r w:rsidRPr="00B806A7">
        <w:rPr>
          <w:rFonts w:ascii="Times New Roman" w:hAnsi="Times New Roman"/>
          <w:sz w:val="24"/>
          <w:szCs w:val="24"/>
        </w:rPr>
        <w:t>на 2023 год в размере 118 995,40 тыс. руб. и сформированы исходя из объема потерь в размере 43,0788 млн. кВт.ч., рассчитанного исходя из уровня потерь 8,61% и прогнозируемого тарифа покупки потерь на 2023 год в размере 2 762,27 руб./МВтч. Снижение относительно величины, учтенной при установлении НВВ и тарифов ООО «НГСК на 2023 год, составило 0 тыс. руб.;</w:t>
      </w:r>
    </w:p>
    <w:p w:rsidR="000A17A8" w:rsidRPr="00B806A7" w:rsidRDefault="000A17A8" w:rsidP="000A17A8">
      <w:pPr>
        <w:autoSpaceDE w:val="0"/>
        <w:autoSpaceDN w:val="0"/>
        <w:adjustRightInd w:val="0"/>
        <w:spacing w:after="0"/>
        <w:ind w:firstLine="709"/>
        <w:jc w:val="both"/>
        <w:rPr>
          <w:rFonts w:ascii="Times New Roman" w:hAnsi="Times New Roman"/>
          <w:sz w:val="24"/>
          <w:szCs w:val="24"/>
        </w:rPr>
      </w:pPr>
      <w:r w:rsidRPr="00B806A7">
        <w:rPr>
          <w:rFonts w:ascii="Times New Roman" w:hAnsi="Times New Roman"/>
          <w:sz w:val="24"/>
          <w:szCs w:val="24"/>
        </w:rPr>
        <w:t>на 2024 год в размере 145 173,21 тыс. руб. и сформированы исходя из объема потерь в размере 49,7982 млн. кВт.ч., рассчитанного исходя из уровня потерь 8,61% и пересмотренной величины прогнозируемого тарифа покупки потерь на 2024 год в размере 2 915,23 руб./МВтч. Снижение относительно величины, учтенной при установлении единых (котловых) тарифов на услуги по передаче электрической на 2024 год, составило 1 136,45 тыс. руб.</w:t>
      </w:r>
    </w:p>
    <w:p w:rsidR="000A17A8" w:rsidRPr="00B806A7" w:rsidRDefault="000A17A8" w:rsidP="000A17A8">
      <w:pPr>
        <w:autoSpaceDE w:val="0"/>
        <w:autoSpaceDN w:val="0"/>
        <w:adjustRightInd w:val="0"/>
        <w:spacing w:after="0"/>
        <w:ind w:firstLine="709"/>
        <w:jc w:val="both"/>
        <w:rPr>
          <w:rFonts w:ascii="Times New Roman" w:hAnsi="Times New Roman"/>
          <w:sz w:val="24"/>
          <w:szCs w:val="24"/>
        </w:rPr>
      </w:pPr>
      <w:r w:rsidRPr="00B806A7">
        <w:rPr>
          <w:rFonts w:ascii="Times New Roman" w:hAnsi="Times New Roman"/>
          <w:sz w:val="24"/>
          <w:szCs w:val="24"/>
        </w:rPr>
        <w:t xml:space="preserve">Таким образом, при пересмотре НВВ ООО «НГСК» на 2025 год департаментом подлежат исключению расходы на покупную электроэнергию для целей компенсации потерь в размере 1 136,45 тыс. руб.; с учетом индексации - </w:t>
      </w:r>
      <w:r w:rsidR="008D64B8" w:rsidRPr="00B806A7">
        <w:rPr>
          <w:rFonts w:ascii="Times New Roman" w:hAnsi="Times New Roman"/>
          <w:sz w:val="24"/>
          <w:szCs w:val="24"/>
        </w:rPr>
        <w:t xml:space="preserve">1 242,140 </w:t>
      </w:r>
      <w:r w:rsidRPr="00B806A7">
        <w:rPr>
          <w:rFonts w:ascii="Times New Roman" w:hAnsi="Times New Roman"/>
          <w:sz w:val="24"/>
          <w:szCs w:val="24"/>
        </w:rPr>
        <w:t>тыс. руб.</w:t>
      </w:r>
      <w:r w:rsidR="008D64B8" w:rsidRPr="00B806A7">
        <w:rPr>
          <w:rFonts w:ascii="Times New Roman" w:hAnsi="Times New Roman"/>
          <w:sz w:val="24"/>
          <w:szCs w:val="24"/>
        </w:rPr>
        <w:t xml:space="preserve"> (1 136,45*1,093).</w:t>
      </w:r>
    </w:p>
    <w:p w:rsidR="000A17A8" w:rsidRPr="00B806A7" w:rsidRDefault="000A17A8" w:rsidP="000A17A8">
      <w:pPr>
        <w:autoSpaceDE w:val="0"/>
        <w:autoSpaceDN w:val="0"/>
        <w:adjustRightInd w:val="0"/>
        <w:spacing w:after="0"/>
        <w:ind w:firstLine="709"/>
        <w:jc w:val="both"/>
        <w:rPr>
          <w:rFonts w:ascii="Times New Roman" w:hAnsi="Times New Roman"/>
          <w:b/>
          <w:sz w:val="24"/>
          <w:szCs w:val="24"/>
        </w:rPr>
      </w:pPr>
      <w:r w:rsidRPr="00B806A7">
        <w:rPr>
          <w:rFonts w:ascii="Times New Roman" w:hAnsi="Times New Roman"/>
          <w:b/>
          <w:sz w:val="24"/>
          <w:szCs w:val="24"/>
        </w:rPr>
        <w:t>Пересмотр НВВ ООО «НГСК» на 2025 год</w:t>
      </w:r>
    </w:p>
    <w:p w:rsidR="000A4130" w:rsidRPr="00B806A7" w:rsidRDefault="000A4130" w:rsidP="000A17A8">
      <w:pPr>
        <w:autoSpaceDE w:val="0"/>
        <w:autoSpaceDN w:val="0"/>
        <w:adjustRightInd w:val="0"/>
        <w:spacing w:after="0"/>
        <w:ind w:firstLine="709"/>
        <w:jc w:val="both"/>
        <w:rPr>
          <w:rFonts w:ascii="Times New Roman" w:hAnsi="Times New Roman"/>
          <w:sz w:val="24"/>
          <w:szCs w:val="24"/>
        </w:rPr>
      </w:pPr>
      <w:r w:rsidRPr="00B806A7">
        <w:rPr>
          <w:rFonts w:ascii="Times New Roman" w:hAnsi="Times New Roman"/>
          <w:sz w:val="24"/>
          <w:szCs w:val="24"/>
        </w:rPr>
        <w:t>В результате пересмотра НВВ ООО «НГСК» на 2022-2024 годы департаментом исключены из состава НВВ ООО «НГСК» на 2025 год в следующем размере</w:t>
      </w:r>
      <w:r w:rsidR="00F15D01" w:rsidRPr="00B806A7">
        <w:t xml:space="preserve"> (</w:t>
      </w:r>
      <w:r w:rsidR="00F15D01" w:rsidRPr="00B806A7">
        <w:rPr>
          <w:rFonts w:ascii="Times New Roman" w:hAnsi="Times New Roman"/>
          <w:sz w:val="24"/>
          <w:szCs w:val="24"/>
        </w:rPr>
        <w:t>-</w:t>
      </w:r>
      <w:r w:rsidR="008D64B8" w:rsidRPr="00B806A7">
        <w:rPr>
          <w:rFonts w:ascii="Times New Roman" w:hAnsi="Times New Roman"/>
          <w:sz w:val="24"/>
          <w:szCs w:val="24"/>
        </w:rPr>
        <w:t>5 226,67</w:t>
      </w:r>
      <w:r w:rsidR="00F15D01" w:rsidRPr="00B806A7">
        <w:rPr>
          <w:rFonts w:ascii="Times New Roman" w:hAnsi="Times New Roman"/>
          <w:sz w:val="24"/>
          <w:szCs w:val="24"/>
        </w:rPr>
        <w:t>) тыс.</w:t>
      </w:r>
      <w:r w:rsidR="009324DE" w:rsidRPr="00B806A7">
        <w:rPr>
          <w:rFonts w:ascii="Times New Roman" w:hAnsi="Times New Roman"/>
          <w:sz w:val="24"/>
          <w:szCs w:val="24"/>
        </w:rPr>
        <w:t xml:space="preserve"> </w:t>
      </w:r>
      <w:r w:rsidR="00F15D01" w:rsidRPr="00B806A7">
        <w:rPr>
          <w:rFonts w:ascii="Times New Roman" w:hAnsi="Times New Roman"/>
          <w:sz w:val="24"/>
          <w:szCs w:val="24"/>
        </w:rPr>
        <w:t>руб.,  в том числе по статьям расходов</w:t>
      </w:r>
      <w:r w:rsidRPr="00B806A7">
        <w:rPr>
          <w:rFonts w:ascii="Times New Roman" w:hAnsi="Times New Roman"/>
          <w:sz w:val="24"/>
          <w:szCs w:val="24"/>
        </w:rPr>
        <w:t>:</w:t>
      </w:r>
    </w:p>
    <w:p w:rsidR="000A4130" w:rsidRPr="00B806A7" w:rsidRDefault="00E77E14" w:rsidP="000A17A8">
      <w:pPr>
        <w:autoSpaceDE w:val="0"/>
        <w:autoSpaceDN w:val="0"/>
        <w:adjustRightInd w:val="0"/>
        <w:spacing w:after="0"/>
        <w:ind w:firstLine="709"/>
        <w:jc w:val="both"/>
        <w:rPr>
          <w:rFonts w:ascii="Times New Roman" w:hAnsi="Times New Roman"/>
          <w:sz w:val="24"/>
          <w:szCs w:val="24"/>
        </w:rPr>
      </w:pPr>
      <w:r w:rsidRPr="00B806A7">
        <w:rPr>
          <w:rFonts w:ascii="Times New Roman" w:hAnsi="Times New Roman"/>
          <w:sz w:val="24"/>
          <w:szCs w:val="24"/>
        </w:rPr>
        <w:t>- «Плата за аренду имущества и лизинг» в размере –</w:t>
      </w:r>
      <w:r w:rsidRPr="00B806A7">
        <w:t xml:space="preserve"> (</w:t>
      </w:r>
      <w:r w:rsidRPr="00B806A7">
        <w:rPr>
          <w:rFonts w:ascii="Times New Roman" w:hAnsi="Times New Roman"/>
          <w:sz w:val="24"/>
          <w:szCs w:val="24"/>
        </w:rPr>
        <w:t>-</w:t>
      </w:r>
      <w:r w:rsidR="008D64B8" w:rsidRPr="00B806A7">
        <w:rPr>
          <w:rFonts w:ascii="Times New Roman" w:hAnsi="Times New Roman"/>
          <w:sz w:val="24"/>
          <w:szCs w:val="24"/>
        </w:rPr>
        <w:t>3</w:t>
      </w:r>
      <w:r w:rsidR="00352954" w:rsidRPr="00B806A7">
        <w:rPr>
          <w:rFonts w:ascii="Times New Roman" w:hAnsi="Times New Roman"/>
          <w:sz w:val="24"/>
          <w:szCs w:val="24"/>
        </w:rPr>
        <w:t> </w:t>
      </w:r>
      <w:r w:rsidR="008D64B8" w:rsidRPr="00B806A7">
        <w:rPr>
          <w:rFonts w:ascii="Times New Roman" w:hAnsi="Times New Roman"/>
          <w:sz w:val="24"/>
          <w:szCs w:val="24"/>
        </w:rPr>
        <w:t>063</w:t>
      </w:r>
      <w:r w:rsidR="00352954" w:rsidRPr="00B806A7">
        <w:rPr>
          <w:rFonts w:ascii="Times New Roman" w:hAnsi="Times New Roman"/>
          <w:sz w:val="24"/>
          <w:szCs w:val="24"/>
        </w:rPr>
        <w:t>,</w:t>
      </w:r>
      <w:r w:rsidR="008D64B8" w:rsidRPr="00B806A7">
        <w:rPr>
          <w:rFonts w:ascii="Times New Roman" w:hAnsi="Times New Roman"/>
          <w:sz w:val="24"/>
          <w:szCs w:val="24"/>
        </w:rPr>
        <w:t>614</w:t>
      </w:r>
      <w:r w:rsidRPr="00B806A7">
        <w:rPr>
          <w:rFonts w:ascii="Times New Roman" w:hAnsi="Times New Roman"/>
          <w:sz w:val="24"/>
          <w:szCs w:val="24"/>
        </w:rPr>
        <w:t>) тыс. руб.</w:t>
      </w:r>
      <w:r w:rsidR="008D64B8" w:rsidRPr="00B806A7">
        <w:rPr>
          <w:rFonts w:ascii="Times New Roman" w:hAnsi="Times New Roman"/>
          <w:sz w:val="24"/>
          <w:szCs w:val="24"/>
        </w:rPr>
        <w:t xml:space="preserve"> в части 2023-2024 годов</w:t>
      </w:r>
      <w:r w:rsidRPr="00B806A7">
        <w:rPr>
          <w:rFonts w:ascii="Times New Roman" w:hAnsi="Times New Roman"/>
          <w:sz w:val="24"/>
          <w:szCs w:val="24"/>
        </w:rPr>
        <w:t>;</w:t>
      </w:r>
    </w:p>
    <w:p w:rsidR="00E77E14" w:rsidRPr="00B806A7" w:rsidRDefault="00E77E14" w:rsidP="000A17A8">
      <w:pPr>
        <w:autoSpaceDE w:val="0"/>
        <w:autoSpaceDN w:val="0"/>
        <w:adjustRightInd w:val="0"/>
        <w:spacing w:after="0"/>
        <w:ind w:firstLine="709"/>
        <w:jc w:val="both"/>
        <w:rPr>
          <w:rFonts w:ascii="Times New Roman" w:hAnsi="Times New Roman"/>
          <w:sz w:val="24"/>
          <w:szCs w:val="24"/>
        </w:rPr>
      </w:pPr>
      <w:r w:rsidRPr="00B806A7">
        <w:rPr>
          <w:rFonts w:ascii="Times New Roman" w:hAnsi="Times New Roman"/>
          <w:sz w:val="24"/>
          <w:szCs w:val="24"/>
        </w:rPr>
        <w:t>-«Корректировка НВВ на 2022-2024 годы» -(-</w:t>
      </w:r>
      <w:r w:rsidR="00352954" w:rsidRPr="00B806A7">
        <w:rPr>
          <w:rFonts w:ascii="Times New Roman" w:hAnsi="Times New Roman"/>
          <w:sz w:val="24"/>
          <w:szCs w:val="24"/>
        </w:rPr>
        <w:t>920,920</w:t>
      </w:r>
      <w:r w:rsidRPr="00B806A7">
        <w:rPr>
          <w:rFonts w:ascii="Times New Roman" w:hAnsi="Times New Roman"/>
          <w:sz w:val="24"/>
          <w:szCs w:val="24"/>
        </w:rPr>
        <w:t>) тыс. руб.;</w:t>
      </w:r>
    </w:p>
    <w:p w:rsidR="00E77E14" w:rsidRPr="00B806A7" w:rsidRDefault="00E77E14" w:rsidP="000A17A8">
      <w:pPr>
        <w:autoSpaceDE w:val="0"/>
        <w:autoSpaceDN w:val="0"/>
        <w:adjustRightInd w:val="0"/>
        <w:spacing w:after="0"/>
        <w:ind w:firstLine="709"/>
        <w:jc w:val="both"/>
        <w:rPr>
          <w:rFonts w:ascii="Times New Roman" w:hAnsi="Times New Roman"/>
          <w:sz w:val="24"/>
          <w:szCs w:val="24"/>
        </w:rPr>
      </w:pPr>
      <w:r w:rsidRPr="00B806A7">
        <w:rPr>
          <w:rFonts w:ascii="Times New Roman" w:hAnsi="Times New Roman"/>
          <w:sz w:val="24"/>
          <w:szCs w:val="24"/>
        </w:rPr>
        <w:t>- «Расчет</w:t>
      </w:r>
      <w:r w:rsidRPr="00B806A7">
        <w:t xml:space="preserve"> </w:t>
      </w:r>
      <w:r w:rsidRPr="00B806A7">
        <w:rPr>
          <w:rFonts w:ascii="Times New Roman" w:hAnsi="Times New Roman"/>
          <w:sz w:val="24"/>
          <w:szCs w:val="24"/>
        </w:rPr>
        <w:t xml:space="preserve">расходов на покупную электроэнергию для компенсации потерь на 2022-2024 » </w:t>
      </w:r>
      <w:r w:rsidRPr="00B806A7">
        <w:t xml:space="preserve"> (</w:t>
      </w:r>
      <w:r w:rsidR="009324DE" w:rsidRPr="00B806A7">
        <w:rPr>
          <w:rFonts w:ascii="Times New Roman" w:hAnsi="Times New Roman"/>
          <w:sz w:val="24"/>
          <w:szCs w:val="24"/>
        </w:rPr>
        <w:t>-</w:t>
      </w:r>
      <w:r w:rsidR="00352954" w:rsidRPr="00B806A7">
        <w:rPr>
          <w:rFonts w:ascii="Times New Roman" w:hAnsi="Times New Roman"/>
          <w:sz w:val="24"/>
          <w:szCs w:val="24"/>
        </w:rPr>
        <w:t>1 242,14</w:t>
      </w:r>
      <w:r w:rsidRPr="00B806A7">
        <w:rPr>
          <w:rFonts w:ascii="Times New Roman" w:hAnsi="Times New Roman"/>
          <w:sz w:val="24"/>
          <w:szCs w:val="24"/>
        </w:rPr>
        <w:t>) тыс. руб.</w:t>
      </w:r>
    </w:p>
    <w:p w:rsidR="009324DE" w:rsidRPr="00B806A7" w:rsidRDefault="00E77E14" w:rsidP="000A17A8">
      <w:pPr>
        <w:autoSpaceDE w:val="0"/>
        <w:autoSpaceDN w:val="0"/>
        <w:adjustRightInd w:val="0"/>
        <w:spacing w:after="0"/>
        <w:ind w:firstLine="709"/>
        <w:jc w:val="both"/>
        <w:rPr>
          <w:rFonts w:ascii="Times New Roman" w:hAnsi="Times New Roman"/>
          <w:b/>
          <w:sz w:val="24"/>
          <w:szCs w:val="24"/>
        </w:rPr>
      </w:pPr>
      <w:r w:rsidRPr="00B806A7">
        <w:rPr>
          <w:rFonts w:ascii="Times New Roman" w:hAnsi="Times New Roman"/>
          <w:b/>
          <w:sz w:val="24"/>
          <w:szCs w:val="24"/>
        </w:rPr>
        <w:t xml:space="preserve">Таким образом, </w:t>
      </w:r>
      <w:r w:rsidR="000A4130" w:rsidRPr="00B806A7">
        <w:rPr>
          <w:rFonts w:ascii="Times New Roman" w:hAnsi="Times New Roman"/>
          <w:b/>
          <w:sz w:val="24"/>
          <w:szCs w:val="24"/>
        </w:rPr>
        <w:t xml:space="preserve">предлагается пересмотреть НВВ ООО «НГСК» </w:t>
      </w:r>
      <w:r w:rsidR="009324DE" w:rsidRPr="00B806A7">
        <w:rPr>
          <w:rFonts w:ascii="Times New Roman" w:hAnsi="Times New Roman"/>
          <w:b/>
          <w:sz w:val="24"/>
          <w:szCs w:val="24"/>
        </w:rPr>
        <w:t xml:space="preserve">на содержание сетей </w:t>
      </w:r>
      <w:r w:rsidR="000A4130" w:rsidRPr="00B806A7">
        <w:rPr>
          <w:rFonts w:ascii="Times New Roman" w:hAnsi="Times New Roman"/>
          <w:b/>
          <w:sz w:val="24"/>
          <w:szCs w:val="24"/>
        </w:rPr>
        <w:t xml:space="preserve">на 2025 год </w:t>
      </w:r>
      <w:r w:rsidRPr="00B806A7">
        <w:rPr>
          <w:rFonts w:ascii="Times New Roman" w:hAnsi="Times New Roman"/>
          <w:b/>
          <w:sz w:val="24"/>
          <w:szCs w:val="24"/>
        </w:rPr>
        <w:t xml:space="preserve">в размере </w:t>
      </w:r>
      <w:r w:rsidR="00EF600D" w:rsidRPr="00B806A7">
        <w:rPr>
          <w:rFonts w:ascii="Times New Roman" w:hAnsi="Times New Roman"/>
          <w:b/>
          <w:sz w:val="24"/>
          <w:szCs w:val="24"/>
        </w:rPr>
        <w:t xml:space="preserve">209 320,0 </w:t>
      </w:r>
      <w:r w:rsidR="009324DE" w:rsidRPr="00B806A7">
        <w:rPr>
          <w:rFonts w:ascii="Times New Roman" w:hAnsi="Times New Roman"/>
          <w:b/>
          <w:sz w:val="24"/>
          <w:szCs w:val="24"/>
        </w:rPr>
        <w:t>тыс. руб.</w:t>
      </w:r>
    </w:p>
    <w:p w:rsidR="006508B7" w:rsidRPr="00B806A7" w:rsidRDefault="006508B7" w:rsidP="000A17A8">
      <w:pPr>
        <w:autoSpaceDE w:val="0"/>
        <w:autoSpaceDN w:val="0"/>
        <w:adjustRightInd w:val="0"/>
        <w:spacing w:after="0"/>
        <w:ind w:firstLine="709"/>
        <w:jc w:val="both"/>
        <w:rPr>
          <w:rFonts w:ascii="Times New Roman" w:hAnsi="Times New Roman"/>
          <w:b/>
          <w:sz w:val="24"/>
          <w:szCs w:val="24"/>
        </w:rPr>
      </w:pPr>
    </w:p>
    <w:p w:rsidR="006508B7" w:rsidRPr="00B806A7" w:rsidRDefault="006508B7" w:rsidP="000A17A8">
      <w:pPr>
        <w:autoSpaceDE w:val="0"/>
        <w:autoSpaceDN w:val="0"/>
        <w:adjustRightInd w:val="0"/>
        <w:spacing w:after="0"/>
        <w:ind w:firstLine="709"/>
        <w:jc w:val="both"/>
        <w:rPr>
          <w:rFonts w:ascii="Times New Roman" w:hAnsi="Times New Roman"/>
          <w:b/>
          <w:sz w:val="24"/>
          <w:szCs w:val="24"/>
        </w:rPr>
      </w:pPr>
    </w:p>
    <w:p w:rsidR="006508B7" w:rsidRPr="00B806A7" w:rsidRDefault="006508B7" w:rsidP="000A17A8">
      <w:pPr>
        <w:autoSpaceDE w:val="0"/>
        <w:autoSpaceDN w:val="0"/>
        <w:adjustRightInd w:val="0"/>
        <w:spacing w:after="0"/>
        <w:ind w:firstLine="709"/>
        <w:jc w:val="both"/>
        <w:rPr>
          <w:rFonts w:ascii="Times New Roman" w:hAnsi="Times New Roman"/>
          <w:b/>
          <w:sz w:val="24"/>
          <w:szCs w:val="24"/>
        </w:rPr>
      </w:pPr>
    </w:p>
    <w:p w:rsidR="006508B7" w:rsidRPr="00B806A7" w:rsidRDefault="006508B7" w:rsidP="000A17A8">
      <w:pPr>
        <w:autoSpaceDE w:val="0"/>
        <w:autoSpaceDN w:val="0"/>
        <w:adjustRightInd w:val="0"/>
        <w:spacing w:after="0"/>
        <w:ind w:firstLine="709"/>
        <w:jc w:val="both"/>
        <w:rPr>
          <w:rFonts w:ascii="Times New Roman" w:hAnsi="Times New Roman"/>
          <w:b/>
          <w:sz w:val="24"/>
          <w:szCs w:val="24"/>
        </w:rPr>
      </w:pPr>
    </w:p>
    <w:tbl>
      <w:tblPr>
        <w:tblStyle w:val="af1"/>
        <w:tblW w:w="0" w:type="auto"/>
        <w:tblLayout w:type="fixed"/>
        <w:tblLook w:val="04A0" w:firstRow="1" w:lastRow="0" w:firstColumn="1" w:lastColumn="0" w:noHBand="0" w:noVBand="1"/>
      </w:tblPr>
      <w:tblGrid>
        <w:gridCol w:w="849"/>
        <w:gridCol w:w="3518"/>
        <w:gridCol w:w="703"/>
        <w:gridCol w:w="992"/>
        <w:gridCol w:w="992"/>
        <w:gridCol w:w="992"/>
        <w:gridCol w:w="876"/>
        <w:gridCol w:w="1215"/>
      </w:tblGrid>
      <w:tr w:rsidR="006508B7" w:rsidRPr="00B806A7" w:rsidTr="006508B7">
        <w:trPr>
          <w:trHeight w:val="450"/>
        </w:trPr>
        <w:tc>
          <w:tcPr>
            <w:tcW w:w="10137" w:type="dxa"/>
            <w:gridSpan w:val="8"/>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Таблица расходов по расчету тарифов на услуги по передаче электрической энергии на основе долгосрочных параметров регулирования на 2021-2025 гг.</w:t>
            </w:r>
          </w:p>
        </w:tc>
      </w:tr>
      <w:tr w:rsidR="006508B7" w:rsidRPr="00B806A7" w:rsidTr="006508B7">
        <w:trPr>
          <w:trHeight w:val="1265"/>
        </w:trPr>
        <w:tc>
          <w:tcPr>
            <w:tcW w:w="849"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 п.п.</w:t>
            </w:r>
          </w:p>
        </w:tc>
        <w:tc>
          <w:tcPr>
            <w:tcW w:w="3518"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Показатели</w:t>
            </w:r>
          </w:p>
        </w:tc>
        <w:tc>
          <w:tcPr>
            <w:tcW w:w="703"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Ед. изм.</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2021 (базовый период)</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2022</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2023</w:t>
            </w:r>
          </w:p>
        </w:tc>
        <w:tc>
          <w:tcPr>
            <w:tcW w:w="876"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2024</w:t>
            </w:r>
          </w:p>
        </w:tc>
        <w:tc>
          <w:tcPr>
            <w:tcW w:w="1215"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2025 с учетом пересмотра по Предписа-нию ФАС России от СП/15686/25 от 24.02.2025</w:t>
            </w:r>
          </w:p>
        </w:tc>
      </w:tr>
      <w:tr w:rsidR="006508B7" w:rsidRPr="00B806A7" w:rsidTr="006508B7">
        <w:trPr>
          <w:trHeight w:val="300"/>
        </w:trPr>
        <w:tc>
          <w:tcPr>
            <w:tcW w:w="5070" w:type="dxa"/>
            <w:gridSpan w:val="3"/>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Долгосрочные параметры (не меняются в течение долгосрочного периода регулирования)</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p>
        </w:tc>
        <w:tc>
          <w:tcPr>
            <w:tcW w:w="876" w:type="dxa"/>
            <w:noWrap/>
            <w:hideMark/>
          </w:tcPr>
          <w:p w:rsidR="006508B7" w:rsidRPr="00B806A7" w:rsidRDefault="006508B7" w:rsidP="006508B7">
            <w:pPr>
              <w:adjustRightInd w:val="0"/>
              <w:spacing w:after="0" w:line="240" w:lineRule="auto"/>
              <w:jc w:val="both"/>
              <w:rPr>
                <w:rFonts w:ascii="Times New Roman" w:hAnsi="Times New Roman"/>
                <w:sz w:val="16"/>
                <w:szCs w:val="16"/>
              </w:rPr>
            </w:pPr>
          </w:p>
        </w:tc>
        <w:tc>
          <w:tcPr>
            <w:tcW w:w="1215" w:type="dxa"/>
            <w:noWrap/>
            <w:hideMark/>
          </w:tcPr>
          <w:p w:rsidR="006508B7" w:rsidRPr="00B806A7" w:rsidRDefault="006508B7" w:rsidP="006508B7">
            <w:pPr>
              <w:adjustRightInd w:val="0"/>
              <w:spacing w:after="0" w:line="240" w:lineRule="auto"/>
              <w:jc w:val="both"/>
              <w:rPr>
                <w:rFonts w:ascii="Times New Roman" w:hAnsi="Times New Roman"/>
                <w:sz w:val="16"/>
                <w:szCs w:val="16"/>
              </w:rPr>
            </w:pPr>
          </w:p>
        </w:tc>
      </w:tr>
      <w:tr w:rsidR="006508B7" w:rsidRPr="00B806A7" w:rsidTr="006508B7">
        <w:trPr>
          <w:trHeight w:val="510"/>
        </w:trPr>
        <w:tc>
          <w:tcPr>
            <w:tcW w:w="849"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Индекс эффективности подконтрольных расходов</w:t>
            </w:r>
          </w:p>
        </w:tc>
        <w:tc>
          <w:tcPr>
            <w:tcW w:w="703"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w:t>
            </w:r>
          </w:p>
        </w:tc>
      </w:tr>
      <w:tr w:rsidR="006508B7" w:rsidRPr="00B806A7" w:rsidTr="006508B7">
        <w:trPr>
          <w:trHeight w:val="600"/>
        </w:trPr>
        <w:tc>
          <w:tcPr>
            <w:tcW w:w="849"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Коэффициент эластичности подконтрольных расходов по количеству активов</w:t>
            </w:r>
          </w:p>
        </w:tc>
        <w:tc>
          <w:tcPr>
            <w:tcW w:w="703"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0,75</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0,75</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0,75</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0,75</w:t>
            </w:r>
          </w:p>
        </w:tc>
      </w:tr>
      <w:tr w:rsidR="006508B7" w:rsidRPr="00B806A7" w:rsidTr="006508B7">
        <w:trPr>
          <w:trHeight w:val="840"/>
        </w:trPr>
        <w:tc>
          <w:tcPr>
            <w:tcW w:w="849"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Максимальная возможная корректировка НВВ, с учетом достижения установленного уровня надежности и качества услуг</w:t>
            </w:r>
          </w:p>
        </w:tc>
        <w:tc>
          <w:tcPr>
            <w:tcW w:w="703"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w:t>
            </w:r>
          </w:p>
        </w:tc>
      </w:tr>
      <w:tr w:rsidR="006508B7" w:rsidRPr="00B806A7" w:rsidTr="006508B7">
        <w:trPr>
          <w:trHeight w:val="570"/>
        </w:trPr>
        <w:tc>
          <w:tcPr>
            <w:tcW w:w="10137" w:type="dxa"/>
            <w:gridSpan w:val="8"/>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Планируемые значения параметров расчета тарифов (определяются перед началом каждого года долгосрочного периода регулирования)</w:t>
            </w:r>
          </w:p>
        </w:tc>
      </w:tr>
      <w:tr w:rsidR="006508B7" w:rsidRPr="00B806A7" w:rsidTr="006508B7">
        <w:trPr>
          <w:trHeight w:val="300"/>
        </w:trPr>
        <w:tc>
          <w:tcPr>
            <w:tcW w:w="849"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Индекс потребительских цен ПЛАН </w:t>
            </w:r>
            <w:r w:rsidRPr="00B806A7">
              <w:rPr>
                <w:rFonts w:ascii="Times New Roman" w:hAnsi="Times New Roman"/>
                <w:b/>
                <w:bCs/>
                <w:sz w:val="16"/>
                <w:szCs w:val="16"/>
              </w:rPr>
              <w:t>Ij</w:t>
            </w:r>
          </w:p>
        </w:tc>
        <w:tc>
          <w:tcPr>
            <w:tcW w:w="703"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4,3%</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6,0%</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7,2%</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5,8%</w:t>
            </w:r>
          </w:p>
        </w:tc>
      </w:tr>
      <w:tr w:rsidR="006508B7" w:rsidRPr="00B806A7" w:rsidTr="006508B7">
        <w:trPr>
          <w:trHeight w:val="390"/>
        </w:trPr>
        <w:tc>
          <w:tcPr>
            <w:tcW w:w="849"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1.1</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Индекс потребительских цен ФАКТ     </w:t>
            </w:r>
            <w:r w:rsidRPr="00B806A7">
              <w:rPr>
                <w:rFonts w:ascii="Times New Roman" w:hAnsi="Times New Roman"/>
                <w:b/>
                <w:bCs/>
                <w:sz w:val="16"/>
                <w:szCs w:val="16"/>
              </w:rPr>
              <w:t xml:space="preserve"> I</w:t>
            </w:r>
            <w:r w:rsidRPr="00B806A7">
              <w:rPr>
                <w:rFonts w:ascii="Times New Roman" w:hAnsi="Times New Roman"/>
                <w:sz w:val="16"/>
                <w:szCs w:val="16"/>
              </w:rPr>
              <w:t>j</w:t>
            </w:r>
          </w:p>
        </w:tc>
        <w:tc>
          <w:tcPr>
            <w:tcW w:w="703"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13,8%</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5,9%</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8,0%</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5,8%</w:t>
            </w:r>
          </w:p>
        </w:tc>
      </w:tr>
      <w:tr w:rsidR="006508B7" w:rsidRPr="00B806A7" w:rsidTr="006508B7">
        <w:trPr>
          <w:trHeight w:val="300"/>
        </w:trPr>
        <w:tc>
          <w:tcPr>
            <w:tcW w:w="849"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Количество активов ПЛАН </w:t>
            </w:r>
            <w:r w:rsidRPr="00B806A7">
              <w:rPr>
                <w:rFonts w:ascii="Times New Roman" w:hAnsi="Times New Roman"/>
                <w:b/>
                <w:bCs/>
                <w:sz w:val="16"/>
                <w:szCs w:val="16"/>
              </w:rPr>
              <w:t>уej, уej-1</w:t>
            </w:r>
          </w:p>
        </w:tc>
        <w:tc>
          <w:tcPr>
            <w:tcW w:w="703"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у.е.</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3 480,758</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5 751,242</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6 794,082</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8 113,812</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8 973,308</w:t>
            </w:r>
          </w:p>
        </w:tc>
      </w:tr>
      <w:tr w:rsidR="006508B7" w:rsidRPr="00B806A7" w:rsidTr="006508B7">
        <w:trPr>
          <w:trHeight w:val="360"/>
        </w:trPr>
        <w:tc>
          <w:tcPr>
            <w:tcW w:w="849"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2.1</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Количество активов ФАКТ </w:t>
            </w:r>
            <w:r w:rsidRPr="00B806A7">
              <w:rPr>
                <w:rFonts w:ascii="Times New Roman" w:hAnsi="Times New Roman"/>
                <w:b/>
                <w:bCs/>
                <w:sz w:val="16"/>
                <w:szCs w:val="16"/>
              </w:rPr>
              <w:t>уej, уej-1</w:t>
            </w:r>
          </w:p>
        </w:tc>
        <w:tc>
          <w:tcPr>
            <w:tcW w:w="703"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у.е.</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3 493,654</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5 972,865</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7 034,275</w:t>
            </w:r>
          </w:p>
        </w:tc>
        <w:tc>
          <w:tcPr>
            <w:tcW w:w="876"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8 125,735</w:t>
            </w:r>
          </w:p>
        </w:tc>
        <w:tc>
          <w:tcPr>
            <w:tcW w:w="1215"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8 973,308</w:t>
            </w:r>
          </w:p>
        </w:tc>
      </w:tr>
      <w:tr w:rsidR="006508B7" w:rsidRPr="00B806A7" w:rsidTr="006508B7">
        <w:trPr>
          <w:trHeight w:val="300"/>
        </w:trPr>
        <w:tc>
          <w:tcPr>
            <w:tcW w:w="849"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Индекс изменения количества активов </w:t>
            </w:r>
          </w:p>
        </w:tc>
        <w:tc>
          <w:tcPr>
            <w:tcW w:w="703"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0,65</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0,18</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r>
      <w:tr w:rsidR="006508B7" w:rsidRPr="00B806A7" w:rsidTr="006508B7">
        <w:trPr>
          <w:trHeight w:val="375"/>
        </w:trPr>
        <w:tc>
          <w:tcPr>
            <w:tcW w:w="849"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3.1</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Индекс изменения количества активов </w:t>
            </w:r>
            <w:r w:rsidRPr="00B806A7">
              <w:rPr>
                <w:rFonts w:ascii="Times New Roman" w:hAnsi="Times New Roman"/>
                <w:b/>
                <w:bCs/>
                <w:sz w:val="16"/>
                <w:szCs w:val="16"/>
              </w:rPr>
              <w:t>ИКА</w:t>
            </w:r>
            <w:r w:rsidRPr="00B806A7">
              <w:rPr>
                <w:rFonts w:ascii="Times New Roman" w:hAnsi="Times New Roman"/>
                <w:sz w:val="16"/>
                <w:szCs w:val="16"/>
              </w:rPr>
              <w:t>j</w:t>
            </w:r>
          </w:p>
        </w:tc>
        <w:tc>
          <w:tcPr>
            <w:tcW w:w="703"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0,5322</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0,1333</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0,1164</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0,0782</w:t>
            </w:r>
          </w:p>
        </w:tc>
      </w:tr>
      <w:tr w:rsidR="006508B7" w:rsidRPr="00B806A7" w:rsidTr="006508B7">
        <w:trPr>
          <w:trHeight w:val="300"/>
        </w:trPr>
        <w:tc>
          <w:tcPr>
            <w:tcW w:w="849"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4.</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Итого коэффициент индексации</w:t>
            </w:r>
          </w:p>
        </w:tc>
        <w:tc>
          <w:tcPr>
            <w:tcW w:w="703"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1,522</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1,180</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r>
      <w:tr w:rsidR="006508B7" w:rsidRPr="00B806A7" w:rsidTr="006508B7">
        <w:trPr>
          <w:trHeight w:val="300"/>
        </w:trPr>
        <w:tc>
          <w:tcPr>
            <w:tcW w:w="849"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4.1</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Коэффициент индексации   </w:t>
            </w:r>
            <w:r w:rsidRPr="00B806A7">
              <w:rPr>
                <w:rFonts w:ascii="Times New Roman" w:hAnsi="Times New Roman"/>
                <w:b/>
                <w:bCs/>
                <w:sz w:val="16"/>
                <w:szCs w:val="16"/>
              </w:rPr>
              <w:t>К</w:t>
            </w:r>
            <w:r w:rsidRPr="00B806A7">
              <w:rPr>
                <w:rFonts w:ascii="Times New Roman" w:hAnsi="Times New Roman"/>
                <w:sz w:val="16"/>
                <w:szCs w:val="16"/>
              </w:rPr>
              <w:t>индj</w:t>
            </w:r>
          </w:p>
        </w:tc>
        <w:tc>
          <w:tcPr>
            <w:tcW w:w="703"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1,709</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1,176</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1,182</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1,118</w:t>
            </w:r>
          </w:p>
        </w:tc>
      </w:tr>
      <w:tr w:rsidR="006508B7" w:rsidRPr="00B806A7" w:rsidTr="006508B7">
        <w:trPr>
          <w:trHeight w:val="330"/>
        </w:trPr>
        <w:tc>
          <w:tcPr>
            <w:tcW w:w="849"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b/>
                <w:bCs/>
                <w:sz w:val="16"/>
                <w:szCs w:val="16"/>
              </w:rPr>
              <w:t>П</w:t>
            </w:r>
            <w:r w:rsidRPr="00B806A7">
              <w:rPr>
                <w:rFonts w:ascii="Times New Roman" w:hAnsi="Times New Roman"/>
                <w:sz w:val="16"/>
                <w:szCs w:val="16"/>
              </w:rPr>
              <w:t xml:space="preserve"> </w:t>
            </w:r>
            <w:r w:rsidRPr="00B806A7">
              <w:rPr>
                <w:rFonts w:ascii="Times New Roman" w:hAnsi="Times New Roman"/>
                <w:sz w:val="16"/>
                <w:szCs w:val="16"/>
                <w:vertAlign w:val="superscript"/>
              </w:rPr>
              <w:t>i</w:t>
            </w:r>
            <w:r w:rsidRPr="00B806A7">
              <w:rPr>
                <w:rFonts w:ascii="Times New Roman" w:hAnsi="Times New Roman"/>
                <w:sz w:val="16"/>
                <w:szCs w:val="16"/>
                <w:vertAlign w:val="subscript"/>
              </w:rPr>
              <w:t xml:space="preserve">j  </w:t>
            </w:r>
            <w:r w:rsidRPr="00B806A7">
              <w:rPr>
                <w:rFonts w:ascii="Times New Roman" w:hAnsi="Times New Roman"/>
                <w:sz w:val="16"/>
                <w:szCs w:val="16"/>
              </w:rPr>
              <w:t>Киндj</w:t>
            </w:r>
          </w:p>
        </w:tc>
        <w:tc>
          <w:tcPr>
            <w:tcW w:w="703"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2,375</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2,655</w:t>
            </w:r>
          </w:p>
        </w:tc>
      </w:tr>
      <w:tr w:rsidR="006508B7" w:rsidRPr="00B806A7" w:rsidTr="006508B7">
        <w:trPr>
          <w:trHeight w:val="300"/>
        </w:trPr>
        <w:tc>
          <w:tcPr>
            <w:tcW w:w="5070" w:type="dxa"/>
            <w:gridSpan w:val="3"/>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Расчет подконтрольных расходов</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p>
        </w:tc>
        <w:tc>
          <w:tcPr>
            <w:tcW w:w="876" w:type="dxa"/>
            <w:noWrap/>
            <w:hideMark/>
          </w:tcPr>
          <w:p w:rsidR="006508B7" w:rsidRPr="00B806A7" w:rsidRDefault="006508B7" w:rsidP="006508B7">
            <w:pPr>
              <w:adjustRightInd w:val="0"/>
              <w:spacing w:after="0" w:line="240" w:lineRule="auto"/>
              <w:jc w:val="both"/>
              <w:rPr>
                <w:rFonts w:ascii="Times New Roman" w:hAnsi="Times New Roman"/>
                <w:sz w:val="16"/>
                <w:szCs w:val="16"/>
              </w:rPr>
            </w:pPr>
          </w:p>
        </w:tc>
        <w:tc>
          <w:tcPr>
            <w:tcW w:w="1215" w:type="dxa"/>
            <w:noWrap/>
            <w:hideMark/>
          </w:tcPr>
          <w:p w:rsidR="006508B7" w:rsidRPr="00B806A7" w:rsidRDefault="006508B7" w:rsidP="006508B7">
            <w:pPr>
              <w:adjustRightInd w:val="0"/>
              <w:spacing w:after="0" w:line="240" w:lineRule="auto"/>
              <w:jc w:val="both"/>
              <w:rPr>
                <w:rFonts w:ascii="Times New Roman" w:hAnsi="Times New Roman"/>
                <w:sz w:val="16"/>
                <w:szCs w:val="16"/>
              </w:rPr>
            </w:pPr>
          </w:p>
        </w:tc>
      </w:tr>
      <w:tr w:rsidR="006508B7" w:rsidRPr="00B806A7" w:rsidTr="006508B7">
        <w:trPr>
          <w:trHeight w:val="1220"/>
        </w:trPr>
        <w:tc>
          <w:tcPr>
            <w:tcW w:w="849"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 п.п.</w:t>
            </w:r>
          </w:p>
        </w:tc>
        <w:tc>
          <w:tcPr>
            <w:tcW w:w="3518"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Показатели</w:t>
            </w:r>
          </w:p>
        </w:tc>
        <w:tc>
          <w:tcPr>
            <w:tcW w:w="703"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Ед. изм.</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2021 (базовый период)</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2022</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2023</w:t>
            </w:r>
          </w:p>
        </w:tc>
        <w:tc>
          <w:tcPr>
            <w:tcW w:w="876"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2024</w:t>
            </w:r>
          </w:p>
        </w:tc>
        <w:tc>
          <w:tcPr>
            <w:tcW w:w="1215"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2025 с учетом пересмотра по Предписа-нию ФАС России от СП/15686/25 от 24.02.2025</w:t>
            </w:r>
          </w:p>
        </w:tc>
      </w:tr>
      <w:tr w:rsidR="006508B7" w:rsidRPr="00B806A7" w:rsidTr="006508B7">
        <w:trPr>
          <w:trHeight w:val="300"/>
        </w:trPr>
        <w:tc>
          <w:tcPr>
            <w:tcW w:w="849"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1.1</w:t>
            </w:r>
          </w:p>
        </w:tc>
        <w:tc>
          <w:tcPr>
            <w:tcW w:w="3518"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Материальные затраты</w:t>
            </w:r>
          </w:p>
        </w:tc>
        <w:tc>
          <w:tcPr>
            <w:tcW w:w="703" w:type="dxa"/>
            <w:hideMark/>
          </w:tcPr>
          <w:p w:rsidR="006508B7" w:rsidRPr="00B806A7" w:rsidRDefault="006508B7" w:rsidP="006508B7">
            <w:pPr>
              <w:adjustRightInd w:val="0"/>
              <w:spacing w:after="0" w:line="240" w:lineRule="auto"/>
              <w:jc w:val="both"/>
              <w:rPr>
                <w:rFonts w:ascii="Times New Roman" w:hAnsi="Times New Roman"/>
                <w:b/>
                <w:bCs/>
                <w:sz w:val="12"/>
                <w:szCs w:val="12"/>
              </w:rPr>
            </w:pPr>
            <w:r w:rsidRPr="00B806A7">
              <w:rPr>
                <w:rFonts w:ascii="Times New Roman" w:hAnsi="Times New Roman"/>
                <w:b/>
                <w:bCs/>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9 661,9</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14 707,3</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17 355,6</w:t>
            </w:r>
          </w:p>
        </w:tc>
        <w:tc>
          <w:tcPr>
            <w:tcW w:w="876"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22 727,4</w:t>
            </w:r>
          </w:p>
        </w:tc>
        <w:tc>
          <w:tcPr>
            <w:tcW w:w="1215"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25 650,4</w:t>
            </w:r>
          </w:p>
        </w:tc>
      </w:tr>
      <w:tr w:rsidR="006508B7" w:rsidRPr="00B806A7" w:rsidTr="006508B7">
        <w:trPr>
          <w:trHeight w:val="51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1.1.1</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Сырье, материалы, запасные части, инструмент, топливо</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2 537,8</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3 863,0</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4 558,6</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5 969,6</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6 737,3</w:t>
            </w:r>
          </w:p>
        </w:tc>
      </w:tr>
      <w:tr w:rsidR="006508B7" w:rsidRPr="00B806A7" w:rsidTr="006508B7">
        <w:trPr>
          <w:trHeight w:val="102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1.1.2</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Работы и услуги производственного характера (в т.ч. услуги сторонних организаций по содержанию сетей и распределительных устройств)</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7 124,1</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10 844,2</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12 797,0</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16 757,8</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18 913,0</w:t>
            </w:r>
          </w:p>
        </w:tc>
      </w:tr>
      <w:tr w:rsidR="006508B7" w:rsidRPr="00B806A7" w:rsidTr="006508B7">
        <w:trPr>
          <w:trHeight w:val="300"/>
        </w:trPr>
        <w:tc>
          <w:tcPr>
            <w:tcW w:w="849"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1.2</w:t>
            </w:r>
          </w:p>
        </w:tc>
        <w:tc>
          <w:tcPr>
            <w:tcW w:w="3518"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Расходы на оплату труда</w:t>
            </w:r>
          </w:p>
        </w:tc>
        <w:tc>
          <w:tcPr>
            <w:tcW w:w="703" w:type="dxa"/>
            <w:hideMark/>
          </w:tcPr>
          <w:p w:rsidR="006508B7" w:rsidRPr="00B806A7" w:rsidRDefault="006508B7" w:rsidP="006508B7">
            <w:pPr>
              <w:adjustRightInd w:val="0"/>
              <w:spacing w:after="0" w:line="240" w:lineRule="auto"/>
              <w:jc w:val="both"/>
              <w:rPr>
                <w:rFonts w:ascii="Times New Roman" w:hAnsi="Times New Roman"/>
                <w:b/>
                <w:bCs/>
                <w:sz w:val="12"/>
                <w:szCs w:val="12"/>
              </w:rPr>
            </w:pPr>
            <w:r w:rsidRPr="00B806A7">
              <w:rPr>
                <w:rFonts w:ascii="Times New Roman" w:hAnsi="Times New Roman"/>
                <w:b/>
                <w:bCs/>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15 059,5</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22 923,4</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27 051,2</w:t>
            </w:r>
          </w:p>
        </w:tc>
        <w:tc>
          <w:tcPr>
            <w:tcW w:w="876"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35 423,9</w:t>
            </w:r>
          </w:p>
        </w:tc>
        <w:tc>
          <w:tcPr>
            <w:tcW w:w="1215"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39 979,9</w:t>
            </w:r>
          </w:p>
        </w:tc>
      </w:tr>
      <w:tr w:rsidR="006508B7" w:rsidRPr="00B806A7" w:rsidTr="006508B7">
        <w:trPr>
          <w:trHeight w:val="480"/>
        </w:trPr>
        <w:tc>
          <w:tcPr>
            <w:tcW w:w="849"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1.3</w:t>
            </w:r>
          </w:p>
        </w:tc>
        <w:tc>
          <w:tcPr>
            <w:tcW w:w="3518"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Прочие расходы, всего, в том числе:</w:t>
            </w:r>
          </w:p>
        </w:tc>
        <w:tc>
          <w:tcPr>
            <w:tcW w:w="703" w:type="dxa"/>
            <w:hideMark/>
          </w:tcPr>
          <w:p w:rsidR="006508B7" w:rsidRPr="00B806A7" w:rsidRDefault="006508B7" w:rsidP="006508B7">
            <w:pPr>
              <w:adjustRightInd w:val="0"/>
              <w:spacing w:after="0" w:line="240" w:lineRule="auto"/>
              <w:jc w:val="both"/>
              <w:rPr>
                <w:rFonts w:ascii="Times New Roman" w:hAnsi="Times New Roman"/>
                <w:b/>
                <w:bCs/>
                <w:sz w:val="12"/>
                <w:szCs w:val="12"/>
              </w:rPr>
            </w:pPr>
            <w:r w:rsidRPr="00B806A7">
              <w:rPr>
                <w:rFonts w:ascii="Times New Roman" w:hAnsi="Times New Roman"/>
                <w:b/>
                <w:bCs/>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1 375,9</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2 094,4</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2 471,6</w:t>
            </w:r>
          </w:p>
        </w:tc>
        <w:tc>
          <w:tcPr>
            <w:tcW w:w="876"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3 236,6</w:t>
            </w:r>
          </w:p>
        </w:tc>
        <w:tc>
          <w:tcPr>
            <w:tcW w:w="1215"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3 652,8</w:t>
            </w:r>
          </w:p>
        </w:tc>
      </w:tr>
      <w:tr w:rsidR="006508B7" w:rsidRPr="00B806A7" w:rsidTr="006508B7">
        <w:trPr>
          <w:trHeight w:val="30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1.3.1</w:t>
            </w:r>
          </w:p>
        </w:tc>
        <w:tc>
          <w:tcPr>
            <w:tcW w:w="3518"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Ремонт основных фондов</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r>
      <w:tr w:rsidR="006508B7" w:rsidRPr="00B806A7" w:rsidTr="006508B7">
        <w:trPr>
          <w:trHeight w:val="51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1.3.2</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Оплата работ и услуг сторонних организаций</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1 008,5</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1 535,1</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1 811,5</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2 372,1</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2 677,2</w:t>
            </w:r>
          </w:p>
        </w:tc>
      </w:tr>
      <w:tr w:rsidR="006508B7" w:rsidRPr="00B806A7" w:rsidTr="006508B7">
        <w:trPr>
          <w:trHeight w:val="435"/>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1.3.2.1</w:t>
            </w:r>
          </w:p>
        </w:tc>
        <w:tc>
          <w:tcPr>
            <w:tcW w:w="3518" w:type="dxa"/>
            <w:hideMark/>
          </w:tcPr>
          <w:p w:rsidR="006508B7" w:rsidRPr="00B806A7" w:rsidRDefault="006508B7" w:rsidP="006508B7">
            <w:pPr>
              <w:adjustRightInd w:val="0"/>
              <w:spacing w:after="0" w:line="240" w:lineRule="auto"/>
              <w:jc w:val="both"/>
              <w:rPr>
                <w:rFonts w:ascii="Times New Roman" w:hAnsi="Times New Roman"/>
                <w:i/>
                <w:iCs/>
                <w:sz w:val="16"/>
                <w:szCs w:val="16"/>
              </w:rPr>
            </w:pPr>
            <w:r w:rsidRPr="00B806A7">
              <w:rPr>
                <w:rFonts w:ascii="Times New Roman" w:hAnsi="Times New Roman"/>
                <w:i/>
                <w:iCs/>
                <w:sz w:val="16"/>
                <w:szCs w:val="16"/>
              </w:rPr>
              <w:t>услуги связи</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64,8</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98,6</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116,4</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152,4</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172,0</w:t>
            </w:r>
          </w:p>
        </w:tc>
      </w:tr>
      <w:tr w:rsidR="006508B7" w:rsidRPr="00B806A7" w:rsidTr="006508B7">
        <w:trPr>
          <w:trHeight w:val="51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1.3.2.2</w:t>
            </w:r>
          </w:p>
        </w:tc>
        <w:tc>
          <w:tcPr>
            <w:tcW w:w="3518" w:type="dxa"/>
            <w:hideMark/>
          </w:tcPr>
          <w:p w:rsidR="006508B7" w:rsidRPr="00B806A7" w:rsidRDefault="006508B7" w:rsidP="006508B7">
            <w:pPr>
              <w:adjustRightInd w:val="0"/>
              <w:spacing w:after="0" w:line="240" w:lineRule="auto"/>
              <w:jc w:val="both"/>
              <w:rPr>
                <w:rFonts w:ascii="Times New Roman" w:hAnsi="Times New Roman"/>
                <w:i/>
                <w:iCs/>
                <w:sz w:val="16"/>
                <w:szCs w:val="16"/>
              </w:rPr>
            </w:pPr>
            <w:r w:rsidRPr="00B806A7">
              <w:rPr>
                <w:rFonts w:ascii="Times New Roman" w:hAnsi="Times New Roman"/>
                <w:i/>
                <w:iCs/>
                <w:sz w:val="16"/>
                <w:szCs w:val="16"/>
              </w:rPr>
              <w:t>Расходы на услуги вневедомственной охраны и коммунального хозяйства</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364,3</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554,5</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654,4</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856,9</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967,1</w:t>
            </w:r>
          </w:p>
        </w:tc>
      </w:tr>
      <w:tr w:rsidR="006508B7" w:rsidRPr="00B806A7" w:rsidTr="006508B7">
        <w:trPr>
          <w:trHeight w:val="51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1.3.2.3</w:t>
            </w:r>
          </w:p>
        </w:tc>
        <w:tc>
          <w:tcPr>
            <w:tcW w:w="3518" w:type="dxa"/>
            <w:hideMark/>
          </w:tcPr>
          <w:p w:rsidR="006508B7" w:rsidRPr="00B806A7" w:rsidRDefault="006508B7" w:rsidP="006508B7">
            <w:pPr>
              <w:adjustRightInd w:val="0"/>
              <w:spacing w:after="0" w:line="240" w:lineRule="auto"/>
              <w:jc w:val="both"/>
              <w:rPr>
                <w:rFonts w:ascii="Times New Roman" w:hAnsi="Times New Roman"/>
                <w:i/>
                <w:iCs/>
                <w:sz w:val="16"/>
                <w:szCs w:val="16"/>
              </w:rPr>
            </w:pPr>
            <w:r w:rsidRPr="00B806A7">
              <w:rPr>
                <w:rFonts w:ascii="Times New Roman" w:hAnsi="Times New Roman"/>
                <w:i/>
                <w:iCs/>
                <w:sz w:val="16"/>
                <w:szCs w:val="16"/>
              </w:rPr>
              <w:t>Расходы на юридические и информационные услуги</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r>
      <w:tr w:rsidR="006508B7" w:rsidRPr="00B806A7" w:rsidTr="006508B7">
        <w:trPr>
          <w:trHeight w:val="51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1.3.2.4</w:t>
            </w:r>
          </w:p>
        </w:tc>
        <w:tc>
          <w:tcPr>
            <w:tcW w:w="3518" w:type="dxa"/>
            <w:hideMark/>
          </w:tcPr>
          <w:p w:rsidR="006508B7" w:rsidRPr="00B806A7" w:rsidRDefault="006508B7" w:rsidP="006508B7">
            <w:pPr>
              <w:adjustRightInd w:val="0"/>
              <w:spacing w:after="0" w:line="240" w:lineRule="auto"/>
              <w:jc w:val="both"/>
              <w:rPr>
                <w:rFonts w:ascii="Times New Roman" w:hAnsi="Times New Roman"/>
                <w:i/>
                <w:iCs/>
                <w:sz w:val="16"/>
                <w:szCs w:val="16"/>
              </w:rPr>
            </w:pPr>
            <w:r w:rsidRPr="00B806A7">
              <w:rPr>
                <w:rFonts w:ascii="Times New Roman" w:hAnsi="Times New Roman"/>
                <w:i/>
                <w:iCs/>
                <w:sz w:val="16"/>
                <w:szCs w:val="16"/>
              </w:rPr>
              <w:t>Расходы на аудиторские и консультационные услуги</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r>
      <w:tr w:rsidR="006508B7" w:rsidRPr="00B806A7" w:rsidTr="006508B7">
        <w:trPr>
          <w:trHeight w:val="375"/>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1.3.2.5</w:t>
            </w:r>
          </w:p>
        </w:tc>
        <w:tc>
          <w:tcPr>
            <w:tcW w:w="3518" w:type="dxa"/>
            <w:hideMark/>
          </w:tcPr>
          <w:p w:rsidR="006508B7" w:rsidRPr="00B806A7" w:rsidRDefault="006508B7" w:rsidP="006508B7">
            <w:pPr>
              <w:adjustRightInd w:val="0"/>
              <w:spacing w:after="0" w:line="240" w:lineRule="auto"/>
              <w:jc w:val="both"/>
              <w:rPr>
                <w:rFonts w:ascii="Times New Roman" w:hAnsi="Times New Roman"/>
                <w:i/>
                <w:iCs/>
                <w:sz w:val="16"/>
                <w:szCs w:val="16"/>
              </w:rPr>
            </w:pPr>
            <w:r w:rsidRPr="00B806A7">
              <w:rPr>
                <w:rFonts w:ascii="Times New Roman" w:hAnsi="Times New Roman"/>
                <w:i/>
                <w:iCs/>
                <w:sz w:val="16"/>
                <w:szCs w:val="16"/>
              </w:rPr>
              <w:t>Транспортные услуги</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183,8</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279,8</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330,2</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432,3</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488,0</w:t>
            </w:r>
          </w:p>
        </w:tc>
      </w:tr>
      <w:tr w:rsidR="006508B7" w:rsidRPr="00B806A7" w:rsidTr="006508B7">
        <w:trPr>
          <w:trHeight w:val="345"/>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1.3.2.6</w:t>
            </w:r>
          </w:p>
        </w:tc>
        <w:tc>
          <w:tcPr>
            <w:tcW w:w="3518" w:type="dxa"/>
            <w:hideMark/>
          </w:tcPr>
          <w:p w:rsidR="006508B7" w:rsidRPr="00B806A7" w:rsidRDefault="006508B7" w:rsidP="006508B7">
            <w:pPr>
              <w:adjustRightInd w:val="0"/>
              <w:spacing w:after="0" w:line="240" w:lineRule="auto"/>
              <w:jc w:val="both"/>
              <w:rPr>
                <w:rFonts w:ascii="Times New Roman" w:hAnsi="Times New Roman"/>
                <w:i/>
                <w:iCs/>
                <w:sz w:val="16"/>
                <w:szCs w:val="16"/>
              </w:rPr>
            </w:pPr>
            <w:r w:rsidRPr="00B806A7">
              <w:rPr>
                <w:rFonts w:ascii="Times New Roman" w:hAnsi="Times New Roman"/>
                <w:i/>
                <w:iCs/>
                <w:sz w:val="16"/>
                <w:szCs w:val="16"/>
              </w:rPr>
              <w:t>Прочие услуги сторонних организаций</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395,6</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602,1</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710,6</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930,4</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1 050,1</w:t>
            </w:r>
          </w:p>
        </w:tc>
      </w:tr>
      <w:tr w:rsidR="006508B7" w:rsidRPr="00B806A7" w:rsidTr="006508B7">
        <w:trPr>
          <w:trHeight w:val="51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1.3.3</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Расходы на командировки и представительские</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29,5</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44,9</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53,0</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69,3</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78,3</w:t>
            </w:r>
          </w:p>
        </w:tc>
      </w:tr>
      <w:tr w:rsidR="006508B7" w:rsidRPr="00B806A7" w:rsidTr="006508B7">
        <w:trPr>
          <w:trHeight w:val="39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1.3.4</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Расходы на подготовку кадров</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34,8</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52,9</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62,5</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81,8</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92,3</w:t>
            </w:r>
          </w:p>
        </w:tc>
      </w:tr>
      <w:tr w:rsidR="006508B7" w:rsidRPr="00B806A7" w:rsidTr="006508B7">
        <w:trPr>
          <w:trHeight w:val="765"/>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1.3.5</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Расходы на обеспечение нормальных условий труда и мер по технике безопасности</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303,2</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461,5</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544,7</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713,2</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805,0</w:t>
            </w:r>
          </w:p>
        </w:tc>
      </w:tr>
      <w:tr w:rsidR="006508B7" w:rsidRPr="00B806A7" w:rsidTr="006508B7">
        <w:trPr>
          <w:trHeight w:val="27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1.3.6</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расходы на страхование</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r>
      <w:tr w:rsidR="006508B7" w:rsidRPr="00B806A7" w:rsidTr="006508B7">
        <w:trPr>
          <w:trHeight w:val="30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1.3.7</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Другие прочие расходы</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r>
      <w:tr w:rsidR="006508B7" w:rsidRPr="00B806A7" w:rsidTr="006508B7">
        <w:trPr>
          <w:trHeight w:val="36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1.4</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Электроэнергия на хоз. нужды</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36,8</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56,0</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66,1</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86,6</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97,7</w:t>
            </w:r>
          </w:p>
        </w:tc>
      </w:tr>
      <w:tr w:rsidR="006508B7" w:rsidRPr="00B806A7" w:rsidTr="006508B7">
        <w:trPr>
          <w:trHeight w:val="30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1.5</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Подконтрольные расходы из прибыли</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r>
      <w:tr w:rsidR="006508B7" w:rsidRPr="00B806A7" w:rsidTr="006508B7">
        <w:trPr>
          <w:trHeight w:val="300"/>
        </w:trPr>
        <w:tc>
          <w:tcPr>
            <w:tcW w:w="849"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 </w:t>
            </w:r>
          </w:p>
        </w:tc>
        <w:tc>
          <w:tcPr>
            <w:tcW w:w="3518"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ИТОГО подконтрольные расходы</w:t>
            </w:r>
          </w:p>
        </w:tc>
        <w:tc>
          <w:tcPr>
            <w:tcW w:w="703" w:type="dxa"/>
            <w:hideMark/>
          </w:tcPr>
          <w:p w:rsidR="006508B7" w:rsidRPr="00B806A7" w:rsidRDefault="006508B7" w:rsidP="006508B7">
            <w:pPr>
              <w:adjustRightInd w:val="0"/>
              <w:spacing w:after="0" w:line="240" w:lineRule="auto"/>
              <w:jc w:val="both"/>
              <w:rPr>
                <w:rFonts w:ascii="Times New Roman" w:hAnsi="Times New Roman"/>
                <w:b/>
                <w:bCs/>
                <w:sz w:val="12"/>
                <w:szCs w:val="12"/>
              </w:rPr>
            </w:pPr>
            <w:r w:rsidRPr="00B806A7">
              <w:rPr>
                <w:rFonts w:ascii="Times New Roman" w:hAnsi="Times New Roman"/>
                <w:b/>
                <w:bCs/>
                <w:sz w:val="12"/>
                <w:szCs w:val="12"/>
              </w:rPr>
              <w:t>тыс.руб.</w:t>
            </w:r>
          </w:p>
        </w:tc>
        <w:tc>
          <w:tcPr>
            <w:tcW w:w="992"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26 134,1</w:t>
            </w:r>
          </w:p>
        </w:tc>
        <w:tc>
          <w:tcPr>
            <w:tcW w:w="992"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39 781,1</w:t>
            </w:r>
          </w:p>
        </w:tc>
        <w:tc>
          <w:tcPr>
            <w:tcW w:w="992"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46 944,5</w:t>
            </w:r>
          </w:p>
        </w:tc>
        <w:tc>
          <w:tcPr>
            <w:tcW w:w="876"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61 474,4</w:t>
            </w:r>
          </w:p>
        </w:tc>
        <w:tc>
          <w:tcPr>
            <w:tcW w:w="1215"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69 380,7</w:t>
            </w:r>
          </w:p>
        </w:tc>
      </w:tr>
      <w:tr w:rsidR="006508B7" w:rsidRPr="00B806A7" w:rsidTr="00594030">
        <w:trPr>
          <w:trHeight w:val="270"/>
        </w:trPr>
        <w:tc>
          <w:tcPr>
            <w:tcW w:w="849"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 </w:t>
            </w:r>
          </w:p>
        </w:tc>
        <w:tc>
          <w:tcPr>
            <w:tcW w:w="3518"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Подконтрольные расходы по бенчмаркетингу</w:t>
            </w:r>
          </w:p>
        </w:tc>
        <w:tc>
          <w:tcPr>
            <w:tcW w:w="703" w:type="dxa"/>
            <w:hideMark/>
          </w:tcPr>
          <w:p w:rsidR="006508B7" w:rsidRPr="00B806A7" w:rsidRDefault="006508B7" w:rsidP="006508B7">
            <w:pPr>
              <w:adjustRightInd w:val="0"/>
              <w:spacing w:after="0" w:line="240" w:lineRule="auto"/>
              <w:jc w:val="both"/>
              <w:rPr>
                <w:rFonts w:ascii="Times New Roman" w:hAnsi="Times New Roman"/>
                <w:b/>
                <w:bCs/>
                <w:sz w:val="12"/>
                <w:szCs w:val="12"/>
              </w:rPr>
            </w:pPr>
            <w:r w:rsidRPr="00B806A7">
              <w:rPr>
                <w:rFonts w:ascii="Times New Roman" w:hAnsi="Times New Roman"/>
                <w:b/>
                <w:bCs/>
                <w:sz w:val="12"/>
                <w:szCs w:val="12"/>
              </w:rPr>
              <w:t> </w:t>
            </w:r>
          </w:p>
        </w:tc>
        <w:tc>
          <w:tcPr>
            <w:tcW w:w="992"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0,0</w:t>
            </w:r>
          </w:p>
        </w:tc>
        <w:tc>
          <w:tcPr>
            <w:tcW w:w="992"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0,00</w:t>
            </w:r>
          </w:p>
        </w:tc>
        <w:tc>
          <w:tcPr>
            <w:tcW w:w="992"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0,0</w:t>
            </w:r>
          </w:p>
        </w:tc>
        <w:tc>
          <w:tcPr>
            <w:tcW w:w="876"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0,0</w:t>
            </w:r>
          </w:p>
        </w:tc>
        <w:tc>
          <w:tcPr>
            <w:tcW w:w="1215"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0,0</w:t>
            </w:r>
          </w:p>
        </w:tc>
      </w:tr>
      <w:tr w:rsidR="006508B7" w:rsidRPr="00B806A7" w:rsidTr="006508B7">
        <w:trPr>
          <w:trHeight w:val="306"/>
        </w:trPr>
        <w:tc>
          <w:tcPr>
            <w:tcW w:w="5070" w:type="dxa"/>
            <w:gridSpan w:val="3"/>
            <w:hideMark/>
          </w:tcPr>
          <w:p w:rsidR="006508B7" w:rsidRPr="00B806A7" w:rsidRDefault="006508B7" w:rsidP="006508B7">
            <w:pPr>
              <w:adjustRightInd w:val="0"/>
              <w:spacing w:after="0" w:line="240" w:lineRule="auto"/>
              <w:jc w:val="both"/>
              <w:rPr>
                <w:rFonts w:ascii="Times New Roman" w:hAnsi="Times New Roman"/>
                <w:b/>
                <w:bCs/>
                <w:sz w:val="12"/>
                <w:szCs w:val="12"/>
              </w:rPr>
            </w:pPr>
            <w:r w:rsidRPr="00B806A7">
              <w:rPr>
                <w:rFonts w:ascii="Times New Roman" w:hAnsi="Times New Roman"/>
                <w:b/>
                <w:bCs/>
                <w:sz w:val="12"/>
                <w:szCs w:val="12"/>
              </w:rPr>
              <w:t>Расчет неподконтрольных расходов</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876"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1215"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r>
      <w:tr w:rsidR="006508B7" w:rsidRPr="00B806A7" w:rsidTr="006508B7">
        <w:trPr>
          <w:trHeight w:val="1311"/>
        </w:trPr>
        <w:tc>
          <w:tcPr>
            <w:tcW w:w="849"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 п.п.</w:t>
            </w:r>
          </w:p>
        </w:tc>
        <w:tc>
          <w:tcPr>
            <w:tcW w:w="3518"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Показатели</w:t>
            </w:r>
          </w:p>
        </w:tc>
        <w:tc>
          <w:tcPr>
            <w:tcW w:w="703" w:type="dxa"/>
            <w:hideMark/>
          </w:tcPr>
          <w:p w:rsidR="006508B7" w:rsidRPr="00B806A7" w:rsidRDefault="006508B7" w:rsidP="006508B7">
            <w:pPr>
              <w:adjustRightInd w:val="0"/>
              <w:spacing w:after="0" w:line="240" w:lineRule="auto"/>
              <w:jc w:val="both"/>
              <w:rPr>
                <w:rFonts w:ascii="Times New Roman" w:hAnsi="Times New Roman"/>
                <w:b/>
                <w:bCs/>
                <w:sz w:val="12"/>
                <w:szCs w:val="12"/>
              </w:rPr>
            </w:pPr>
            <w:r w:rsidRPr="00B806A7">
              <w:rPr>
                <w:rFonts w:ascii="Times New Roman" w:hAnsi="Times New Roman"/>
                <w:b/>
                <w:bCs/>
                <w:sz w:val="12"/>
                <w:szCs w:val="12"/>
              </w:rPr>
              <w:t>Ед. изм.</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2021 (базовый период)</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2022</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2023</w:t>
            </w:r>
          </w:p>
        </w:tc>
        <w:tc>
          <w:tcPr>
            <w:tcW w:w="876"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2024</w:t>
            </w:r>
          </w:p>
        </w:tc>
        <w:tc>
          <w:tcPr>
            <w:tcW w:w="1215"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2025 с учетом пересмотра по Предписа-нию ФАС России от СП/15686/25 от 24.02.2025</w:t>
            </w:r>
          </w:p>
        </w:tc>
      </w:tr>
      <w:tr w:rsidR="006508B7" w:rsidRPr="00B806A7" w:rsidTr="00FE3452">
        <w:trPr>
          <w:trHeight w:val="227"/>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2.1</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Оплата услуг ПАО "ФСК ЕЭС"</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2 907,1</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3 127,9</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7 788,7</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14 161,8</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r>
      <w:tr w:rsidR="006508B7" w:rsidRPr="00B806A7" w:rsidTr="006508B7">
        <w:trPr>
          <w:trHeight w:val="30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2.2</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Теплоэнергия, вода, стоки</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42,0</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43,7</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59,5</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330,5</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381,1</w:t>
            </w:r>
          </w:p>
        </w:tc>
      </w:tr>
      <w:tr w:rsidR="006508B7" w:rsidRPr="00B806A7" w:rsidTr="00FE3452">
        <w:trPr>
          <w:trHeight w:val="224"/>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2.3</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Плата за аренду имущества , в том числе:</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61 106,6</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96 028,7</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101 024,9</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127 342,7</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111 396,6</w:t>
            </w:r>
          </w:p>
        </w:tc>
      </w:tr>
      <w:tr w:rsidR="006508B7" w:rsidRPr="00B806A7" w:rsidTr="00FE3452">
        <w:trPr>
          <w:trHeight w:val="215"/>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2.4</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Налоги,всего, в том числе:</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FE3452">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FE3452">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4 060,8</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4 368,0</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1 080,8</w:t>
            </w:r>
          </w:p>
        </w:tc>
      </w:tr>
      <w:tr w:rsidR="006508B7" w:rsidRPr="00B806A7" w:rsidTr="00FE3452">
        <w:trPr>
          <w:trHeight w:val="249"/>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2.4.1</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плата за землю</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w:t>
            </w:r>
          </w:p>
        </w:tc>
        <w:tc>
          <w:tcPr>
            <w:tcW w:w="992" w:type="dxa"/>
            <w:hideMark/>
          </w:tcPr>
          <w:p w:rsidR="006508B7" w:rsidRPr="00B806A7" w:rsidRDefault="006508B7" w:rsidP="00FE3452">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11,3</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66,4</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64,9</w:t>
            </w:r>
          </w:p>
        </w:tc>
      </w:tr>
      <w:tr w:rsidR="006508B7" w:rsidRPr="00B806A7" w:rsidTr="00FE3452">
        <w:trPr>
          <w:trHeight w:val="298"/>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2.4.2</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Налог на имущество</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FE3452">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4 049,5</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4 301,6</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1 004,0</w:t>
            </w:r>
          </w:p>
        </w:tc>
      </w:tr>
      <w:tr w:rsidR="006508B7" w:rsidRPr="00B806A7" w:rsidTr="00FE3452">
        <w:trPr>
          <w:trHeight w:val="30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2.4.3</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Прочие налоги и сборы</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12,0</w:t>
            </w:r>
          </w:p>
        </w:tc>
      </w:tr>
      <w:tr w:rsidR="006508B7" w:rsidRPr="00B806A7" w:rsidTr="00FE3452">
        <w:trPr>
          <w:trHeight w:val="224"/>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2.5</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Отчисления на социальные нужды (ЕСН)</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4 578,1</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6 968,7</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8 223,6</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10 768,9</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12 153,9</w:t>
            </w:r>
          </w:p>
        </w:tc>
      </w:tr>
      <w:tr w:rsidR="006508B7" w:rsidRPr="00B806A7" w:rsidTr="006508B7">
        <w:trPr>
          <w:trHeight w:val="203"/>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2.6</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Прочие неподконтрольные расходы</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516,5</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176,0</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660,0</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291,0</w:t>
            </w:r>
          </w:p>
        </w:tc>
      </w:tr>
      <w:tr w:rsidR="006508B7" w:rsidRPr="00B806A7" w:rsidTr="006508B7">
        <w:trPr>
          <w:trHeight w:val="30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2.7</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Налог на прибыль</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FE3452">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FE3452">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1215" w:type="dxa"/>
            <w:hideMark/>
          </w:tcPr>
          <w:p w:rsidR="006508B7" w:rsidRPr="00B806A7" w:rsidRDefault="006508B7" w:rsidP="00FE3452">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r>
      <w:tr w:rsidR="006508B7" w:rsidRPr="00B806A7" w:rsidTr="006508B7">
        <w:trPr>
          <w:trHeight w:val="510"/>
        </w:trPr>
        <w:tc>
          <w:tcPr>
            <w:tcW w:w="849" w:type="dxa"/>
            <w:noWrap/>
            <w:hideMark/>
          </w:tcPr>
          <w:p w:rsidR="006508B7" w:rsidRPr="00B806A7" w:rsidRDefault="00C04C08"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2.8</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Амортизация ОС (в тч. как источник финансирования)</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8,6</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3 192,9</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6 289,3</w:t>
            </w:r>
          </w:p>
        </w:tc>
        <w:tc>
          <w:tcPr>
            <w:tcW w:w="876"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9 713,3</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23 268,1</w:t>
            </w:r>
          </w:p>
        </w:tc>
      </w:tr>
      <w:tr w:rsidR="006508B7" w:rsidRPr="00B806A7" w:rsidTr="006508B7">
        <w:trPr>
          <w:trHeight w:val="300"/>
        </w:trPr>
        <w:tc>
          <w:tcPr>
            <w:tcW w:w="849" w:type="dxa"/>
            <w:noWrap/>
            <w:hideMark/>
          </w:tcPr>
          <w:p w:rsidR="006508B7" w:rsidRPr="00B806A7" w:rsidRDefault="006508B7" w:rsidP="00C04C08">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w:t>
            </w:r>
            <w:r w:rsidR="00C04C08" w:rsidRPr="00B806A7">
              <w:rPr>
                <w:rFonts w:ascii="Times New Roman" w:hAnsi="Times New Roman"/>
                <w:sz w:val="16"/>
                <w:szCs w:val="16"/>
              </w:rPr>
              <w:t>9</w:t>
            </w:r>
          </w:p>
        </w:tc>
        <w:tc>
          <w:tcPr>
            <w:tcW w:w="3518"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Прибыль на капитальные вложения</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714,7</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526,0</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5 130,7</w:t>
            </w:r>
          </w:p>
        </w:tc>
        <w:tc>
          <w:tcPr>
            <w:tcW w:w="876" w:type="dxa"/>
            <w:hideMark/>
          </w:tcPr>
          <w:p w:rsidR="006508B7" w:rsidRPr="00B806A7" w:rsidRDefault="006508B7" w:rsidP="00C04C08">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1215"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4 743,4</w:t>
            </w:r>
          </w:p>
        </w:tc>
      </w:tr>
      <w:tr w:rsidR="006508B7" w:rsidRPr="00B806A7" w:rsidTr="006508B7">
        <w:trPr>
          <w:trHeight w:val="292"/>
        </w:trPr>
        <w:tc>
          <w:tcPr>
            <w:tcW w:w="849"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 </w:t>
            </w:r>
          </w:p>
        </w:tc>
        <w:tc>
          <w:tcPr>
            <w:tcW w:w="3518"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ИТОГО неподконтрольных расходов</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69 873,6</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109 887,9</w:t>
            </w:r>
          </w:p>
        </w:tc>
        <w:tc>
          <w:tcPr>
            <w:tcW w:w="992"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132 753,4</w:t>
            </w:r>
          </w:p>
        </w:tc>
        <w:tc>
          <w:tcPr>
            <w:tcW w:w="876"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167 345,3</w:t>
            </w:r>
          </w:p>
        </w:tc>
        <w:tc>
          <w:tcPr>
            <w:tcW w:w="1215"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153 314,9</w:t>
            </w:r>
          </w:p>
        </w:tc>
      </w:tr>
      <w:tr w:rsidR="006508B7" w:rsidRPr="00B806A7" w:rsidTr="006508B7">
        <w:trPr>
          <w:trHeight w:val="281"/>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w:t>
            </w:r>
          </w:p>
        </w:tc>
        <w:tc>
          <w:tcPr>
            <w:tcW w:w="3518"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Выпадающие доходы (избыток средств)</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-679,6</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-18 133,0</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-9 418,3</w:t>
            </w:r>
          </w:p>
        </w:tc>
        <w:tc>
          <w:tcPr>
            <w:tcW w:w="876"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-27 516,0</w:t>
            </w:r>
          </w:p>
        </w:tc>
        <w:tc>
          <w:tcPr>
            <w:tcW w:w="1215"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-8 149,0</w:t>
            </w:r>
          </w:p>
        </w:tc>
      </w:tr>
      <w:tr w:rsidR="006508B7" w:rsidRPr="00B806A7" w:rsidTr="00C04C08">
        <w:trPr>
          <w:trHeight w:val="274"/>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3518"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КНК</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583,1</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935,3</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-1 143,9</w:t>
            </w:r>
          </w:p>
        </w:tc>
        <w:tc>
          <w:tcPr>
            <w:tcW w:w="876"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789,2</w:t>
            </w:r>
          </w:p>
        </w:tc>
        <w:tc>
          <w:tcPr>
            <w:tcW w:w="1215"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r>
      <w:tr w:rsidR="006508B7" w:rsidRPr="00B806A7" w:rsidTr="006508B7">
        <w:trPr>
          <w:trHeight w:val="308"/>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3518"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 xml:space="preserve">Корректировка по результатам анализа </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-1 262,6</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-8 537,8</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-3 760,0</w:t>
            </w:r>
          </w:p>
        </w:tc>
        <w:tc>
          <w:tcPr>
            <w:tcW w:w="876"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3 186,6</w:t>
            </w:r>
          </w:p>
        </w:tc>
        <w:tc>
          <w:tcPr>
            <w:tcW w:w="1215"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10 410,8</w:t>
            </w:r>
          </w:p>
        </w:tc>
      </w:tr>
      <w:tr w:rsidR="006508B7" w:rsidRPr="00B806A7" w:rsidTr="00C04C08">
        <w:trPr>
          <w:trHeight w:val="382"/>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3518"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Экономия по потерям п.34.Основ ценообразования</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 </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1 326,9</w:t>
            </w:r>
          </w:p>
        </w:tc>
        <w:tc>
          <w:tcPr>
            <w:tcW w:w="876"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3 857,5</w:t>
            </w:r>
          </w:p>
        </w:tc>
        <w:tc>
          <w:tcPr>
            <w:tcW w:w="1215"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8 583,4</w:t>
            </w:r>
          </w:p>
        </w:tc>
      </w:tr>
      <w:tr w:rsidR="006508B7" w:rsidRPr="00B806A7" w:rsidTr="006508B7">
        <w:trPr>
          <w:trHeight w:val="51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3518"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Выпадающие доходы по технологическому присоединению</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C04C08">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C04C08">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594030">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- 1 457,1   </w:t>
            </w:r>
          </w:p>
        </w:tc>
        <w:tc>
          <w:tcPr>
            <w:tcW w:w="876"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4 318,0</w:t>
            </w:r>
          </w:p>
        </w:tc>
        <w:tc>
          <w:tcPr>
            <w:tcW w:w="1215"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4 284,7</w:t>
            </w:r>
          </w:p>
        </w:tc>
      </w:tr>
      <w:tr w:rsidR="006508B7" w:rsidRPr="00B806A7" w:rsidTr="006508B7">
        <w:trPr>
          <w:trHeight w:val="735"/>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3518"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Корректировка подконтрольных расходов в связи с изменением план</w:t>
            </w:r>
            <w:r w:rsidR="00C04C08" w:rsidRPr="00B806A7">
              <w:rPr>
                <w:rFonts w:ascii="Times New Roman" w:hAnsi="Times New Roman"/>
                <w:b/>
                <w:bCs/>
                <w:sz w:val="16"/>
                <w:szCs w:val="16"/>
              </w:rPr>
              <w:t>и</w:t>
            </w:r>
            <w:r w:rsidRPr="00B806A7">
              <w:rPr>
                <w:rFonts w:ascii="Times New Roman" w:hAnsi="Times New Roman"/>
                <w:b/>
                <w:bCs/>
                <w:sz w:val="16"/>
                <w:szCs w:val="16"/>
              </w:rPr>
              <w:t>руемых параметров расчета тарифов</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C04C08">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876"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5 705,7</w:t>
            </w:r>
          </w:p>
        </w:tc>
        <w:tc>
          <w:tcPr>
            <w:tcW w:w="1215"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6 561,3</w:t>
            </w:r>
          </w:p>
        </w:tc>
      </w:tr>
      <w:tr w:rsidR="006508B7" w:rsidRPr="00B806A7" w:rsidTr="006508B7">
        <w:trPr>
          <w:trHeight w:val="75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3518"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Корректировка с учетом изменения полезного отпуска и цен на покупку электрической энергии</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hideMark/>
          </w:tcPr>
          <w:p w:rsidR="006508B7" w:rsidRPr="00B806A7" w:rsidRDefault="006508B7" w:rsidP="00594030">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-10 653,8   </w:t>
            </w:r>
          </w:p>
        </w:tc>
        <w:tc>
          <w:tcPr>
            <w:tcW w:w="876"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8 760,5</w:t>
            </w:r>
          </w:p>
        </w:tc>
        <w:tc>
          <w:tcPr>
            <w:tcW w:w="1215"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-25 148,7</w:t>
            </w:r>
          </w:p>
        </w:tc>
      </w:tr>
      <w:tr w:rsidR="006508B7" w:rsidRPr="00B806A7" w:rsidTr="006508B7">
        <w:trPr>
          <w:trHeight w:val="30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3518"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Изъятие/возмещение дохода</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xml:space="preserve">    -    </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-10 530,5</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6 269,5</w:t>
            </w:r>
          </w:p>
        </w:tc>
        <w:tc>
          <w:tcPr>
            <w:tcW w:w="876"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-54 133,5</w:t>
            </w:r>
          </w:p>
        </w:tc>
        <w:tc>
          <w:tcPr>
            <w:tcW w:w="1215"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-12 840,6</w:t>
            </w:r>
          </w:p>
        </w:tc>
      </w:tr>
      <w:tr w:rsidR="006508B7" w:rsidRPr="00B806A7" w:rsidTr="006508B7">
        <w:trPr>
          <w:trHeight w:val="553"/>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3.1.</w:t>
            </w:r>
          </w:p>
        </w:tc>
        <w:tc>
          <w:tcPr>
            <w:tcW w:w="3518" w:type="dxa"/>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Пересмотр НВВ по исполнению Предписания ФАС России от 24.02.2025 № СП/15686/25</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noWrap/>
            <w:hideMark/>
          </w:tcPr>
          <w:p w:rsidR="006508B7" w:rsidRPr="00B806A7" w:rsidRDefault="006508B7" w:rsidP="00C04C08">
            <w:pPr>
              <w:adjustRightInd w:val="0"/>
              <w:spacing w:after="0" w:line="240" w:lineRule="auto"/>
              <w:jc w:val="center"/>
              <w:rPr>
                <w:rFonts w:ascii="Times New Roman" w:hAnsi="Times New Roman"/>
                <w:sz w:val="16"/>
                <w:szCs w:val="16"/>
              </w:rPr>
            </w:pPr>
            <w:r w:rsidRPr="00B806A7">
              <w:rPr>
                <w:rFonts w:ascii="Times New Roman" w:hAnsi="Times New Roman"/>
                <w:sz w:val="16"/>
                <w:szCs w:val="16"/>
              </w:rPr>
              <w:t>0,0</w:t>
            </w:r>
          </w:p>
        </w:tc>
        <w:tc>
          <w:tcPr>
            <w:tcW w:w="992" w:type="dxa"/>
            <w:noWrap/>
            <w:hideMark/>
          </w:tcPr>
          <w:p w:rsidR="006508B7" w:rsidRPr="00B806A7" w:rsidRDefault="006508B7" w:rsidP="00C04C08">
            <w:pPr>
              <w:adjustRightInd w:val="0"/>
              <w:spacing w:after="0" w:line="240" w:lineRule="auto"/>
              <w:jc w:val="center"/>
              <w:rPr>
                <w:rFonts w:ascii="Times New Roman" w:hAnsi="Times New Roman"/>
                <w:sz w:val="16"/>
                <w:szCs w:val="16"/>
              </w:rPr>
            </w:pPr>
            <w:r w:rsidRPr="00B806A7">
              <w:rPr>
                <w:rFonts w:ascii="Times New Roman" w:hAnsi="Times New Roman"/>
                <w:sz w:val="16"/>
                <w:szCs w:val="16"/>
              </w:rPr>
              <w:t>0,0</w:t>
            </w:r>
          </w:p>
        </w:tc>
        <w:tc>
          <w:tcPr>
            <w:tcW w:w="992" w:type="dxa"/>
            <w:noWrap/>
            <w:hideMark/>
          </w:tcPr>
          <w:p w:rsidR="006508B7" w:rsidRPr="00B806A7" w:rsidRDefault="006508B7" w:rsidP="00C04C08">
            <w:pPr>
              <w:adjustRightInd w:val="0"/>
              <w:spacing w:after="0" w:line="240" w:lineRule="auto"/>
              <w:jc w:val="center"/>
              <w:rPr>
                <w:rFonts w:ascii="Times New Roman" w:hAnsi="Times New Roman"/>
                <w:sz w:val="16"/>
                <w:szCs w:val="16"/>
              </w:rPr>
            </w:pPr>
            <w:r w:rsidRPr="00B806A7">
              <w:rPr>
                <w:rFonts w:ascii="Times New Roman" w:hAnsi="Times New Roman"/>
                <w:sz w:val="16"/>
                <w:szCs w:val="16"/>
              </w:rPr>
              <w:t>0,0</w:t>
            </w:r>
          </w:p>
        </w:tc>
        <w:tc>
          <w:tcPr>
            <w:tcW w:w="876" w:type="dxa"/>
            <w:noWrap/>
            <w:hideMark/>
          </w:tcPr>
          <w:p w:rsidR="006508B7" w:rsidRPr="00B806A7" w:rsidRDefault="006508B7" w:rsidP="00C04C08">
            <w:pPr>
              <w:adjustRightInd w:val="0"/>
              <w:spacing w:after="0" w:line="240" w:lineRule="auto"/>
              <w:jc w:val="center"/>
              <w:rPr>
                <w:rFonts w:ascii="Times New Roman" w:hAnsi="Times New Roman"/>
                <w:sz w:val="16"/>
                <w:szCs w:val="16"/>
              </w:rPr>
            </w:pPr>
            <w:r w:rsidRPr="00B806A7">
              <w:rPr>
                <w:rFonts w:ascii="Times New Roman" w:hAnsi="Times New Roman"/>
                <w:sz w:val="16"/>
                <w:szCs w:val="16"/>
              </w:rPr>
              <w:t>0,0</w:t>
            </w:r>
          </w:p>
        </w:tc>
        <w:tc>
          <w:tcPr>
            <w:tcW w:w="1215"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-5 226,7</w:t>
            </w:r>
          </w:p>
        </w:tc>
      </w:tr>
      <w:tr w:rsidR="006508B7" w:rsidRPr="00B806A7" w:rsidTr="006508B7">
        <w:trPr>
          <w:trHeight w:val="30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4.</w:t>
            </w:r>
          </w:p>
        </w:tc>
        <w:tc>
          <w:tcPr>
            <w:tcW w:w="3518"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НВВ всего</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95 328,1</w:t>
            </w:r>
          </w:p>
        </w:tc>
        <w:tc>
          <w:tcPr>
            <w:tcW w:w="992"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131 536,1</w:t>
            </w:r>
          </w:p>
        </w:tc>
        <w:tc>
          <w:tcPr>
            <w:tcW w:w="992"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170 279,6</w:t>
            </w:r>
          </w:p>
        </w:tc>
        <w:tc>
          <w:tcPr>
            <w:tcW w:w="876"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201 303,7</w:t>
            </w:r>
          </w:p>
        </w:tc>
        <w:tc>
          <w:tcPr>
            <w:tcW w:w="1215"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209 320,0</w:t>
            </w:r>
          </w:p>
        </w:tc>
      </w:tr>
      <w:tr w:rsidR="006508B7" w:rsidRPr="00B806A7" w:rsidTr="006508B7">
        <w:trPr>
          <w:trHeight w:val="30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3518"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 xml:space="preserve">   в том числе: 1 полугодие</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47 664,0</w:t>
            </w:r>
          </w:p>
        </w:tc>
        <w:tc>
          <w:tcPr>
            <w:tcW w:w="992"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65 768,1</w:t>
            </w:r>
          </w:p>
        </w:tc>
        <w:tc>
          <w:tcPr>
            <w:tcW w:w="992"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85 139,8</w:t>
            </w:r>
          </w:p>
        </w:tc>
        <w:tc>
          <w:tcPr>
            <w:tcW w:w="876"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100 651,9</w:t>
            </w:r>
          </w:p>
        </w:tc>
        <w:tc>
          <w:tcPr>
            <w:tcW w:w="1215"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108 570,4</w:t>
            </w:r>
          </w:p>
        </w:tc>
      </w:tr>
      <w:tr w:rsidR="006508B7" w:rsidRPr="00B806A7" w:rsidTr="006508B7">
        <w:trPr>
          <w:trHeight w:val="345"/>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3518"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 xml:space="preserve">                          2 полугодие</w:t>
            </w:r>
          </w:p>
        </w:tc>
        <w:tc>
          <w:tcPr>
            <w:tcW w:w="703" w:type="dxa"/>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тыс.руб.</w:t>
            </w:r>
          </w:p>
        </w:tc>
        <w:tc>
          <w:tcPr>
            <w:tcW w:w="992"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47 664,0</w:t>
            </w:r>
          </w:p>
        </w:tc>
        <w:tc>
          <w:tcPr>
            <w:tcW w:w="992"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65 768,0</w:t>
            </w:r>
          </w:p>
        </w:tc>
        <w:tc>
          <w:tcPr>
            <w:tcW w:w="992"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85 139,8</w:t>
            </w:r>
          </w:p>
        </w:tc>
        <w:tc>
          <w:tcPr>
            <w:tcW w:w="876"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100 651,9</w:t>
            </w:r>
          </w:p>
        </w:tc>
        <w:tc>
          <w:tcPr>
            <w:tcW w:w="1215" w:type="dxa"/>
            <w:noWrap/>
            <w:hideMark/>
          </w:tcPr>
          <w:p w:rsidR="006508B7" w:rsidRPr="00B806A7" w:rsidRDefault="006508B7" w:rsidP="006508B7">
            <w:pPr>
              <w:adjustRightInd w:val="0"/>
              <w:spacing w:after="0" w:line="240" w:lineRule="auto"/>
              <w:jc w:val="both"/>
              <w:rPr>
                <w:rFonts w:ascii="Times New Roman" w:hAnsi="Times New Roman"/>
                <w:b/>
                <w:bCs/>
                <w:sz w:val="16"/>
                <w:szCs w:val="16"/>
              </w:rPr>
            </w:pPr>
            <w:r w:rsidRPr="00B806A7">
              <w:rPr>
                <w:rFonts w:ascii="Times New Roman" w:hAnsi="Times New Roman"/>
                <w:b/>
                <w:bCs/>
                <w:sz w:val="16"/>
                <w:szCs w:val="16"/>
              </w:rPr>
              <w:t>100 749,5</w:t>
            </w:r>
          </w:p>
        </w:tc>
      </w:tr>
      <w:tr w:rsidR="006508B7" w:rsidRPr="00B806A7" w:rsidTr="006508B7">
        <w:trPr>
          <w:trHeight w:val="300"/>
        </w:trPr>
        <w:tc>
          <w:tcPr>
            <w:tcW w:w="849"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3518"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рост НВВ к предыдущему году</w:t>
            </w:r>
          </w:p>
        </w:tc>
        <w:tc>
          <w:tcPr>
            <w:tcW w:w="703" w:type="dxa"/>
            <w:noWrap/>
            <w:hideMark/>
          </w:tcPr>
          <w:p w:rsidR="006508B7" w:rsidRPr="00B806A7" w:rsidRDefault="006508B7" w:rsidP="006508B7">
            <w:pPr>
              <w:adjustRightInd w:val="0"/>
              <w:spacing w:after="0" w:line="240" w:lineRule="auto"/>
              <w:jc w:val="both"/>
              <w:rPr>
                <w:rFonts w:ascii="Times New Roman" w:hAnsi="Times New Roman"/>
                <w:sz w:val="12"/>
                <w:szCs w:val="12"/>
              </w:rPr>
            </w:pPr>
            <w:r w:rsidRPr="00B806A7">
              <w:rPr>
                <w:rFonts w:ascii="Times New Roman" w:hAnsi="Times New Roman"/>
                <w:sz w:val="12"/>
                <w:szCs w:val="12"/>
              </w:rPr>
              <w:t> </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 </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137,98%</w:t>
            </w:r>
          </w:p>
        </w:tc>
        <w:tc>
          <w:tcPr>
            <w:tcW w:w="992"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129,45%</w:t>
            </w:r>
          </w:p>
        </w:tc>
        <w:tc>
          <w:tcPr>
            <w:tcW w:w="876"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118,22%</w:t>
            </w:r>
          </w:p>
        </w:tc>
        <w:tc>
          <w:tcPr>
            <w:tcW w:w="1215" w:type="dxa"/>
            <w:noWrap/>
            <w:hideMark/>
          </w:tcPr>
          <w:p w:rsidR="006508B7" w:rsidRPr="00B806A7" w:rsidRDefault="006508B7" w:rsidP="006508B7">
            <w:pPr>
              <w:adjustRightInd w:val="0"/>
              <w:spacing w:after="0" w:line="240" w:lineRule="auto"/>
              <w:jc w:val="both"/>
              <w:rPr>
                <w:rFonts w:ascii="Times New Roman" w:hAnsi="Times New Roman"/>
                <w:sz w:val="16"/>
                <w:szCs w:val="16"/>
              </w:rPr>
            </w:pPr>
            <w:r w:rsidRPr="00B806A7">
              <w:rPr>
                <w:rFonts w:ascii="Times New Roman" w:hAnsi="Times New Roman"/>
                <w:sz w:val="16"/>
                <w:szCs w:val="16"/>
              </w:rPr>
              <w:t>103,98%</w:t>
            </w:r>
          </w:p>
        </w:tc>
      </w:tr>
    </w:tbl>
    <w:p w:rsidR="006508B7" w:rsidRPr="00B806A7" w:rsidRDefault="006508B7" w:rsidP="006508B7">
      <w:pPr>
        <w:autoSpaceDE w:val="0"/>
        <w:autoSpaceDN w:val="0"/>
        <w:adjustRightInd w:val="0"/>
        <w:spacing w:after="0" w:line="240" w:lineRule="auto"/>
        <w:jc w:val="both"/>
        <w:rPr>
          <w:rFonts w:ascii="Times New Roman" w:hAnsi="Times New Roman"/>
          <w:sz w:val="16"/>
          <w:szCs w:val="16"/>
        </w:rPr>
      </w:pPr>
    </w:p>
    <w:p w:rsidR="006508B7" w:rsidRPr="00B806A7" w:rsidRDefault="00C04C08" w:rsidP="000A17A8">
      <w:pPr>
        <w:autoSpaceDE w:val="0"/>
        <w:autoSpaceDN w:val="0"/>
        <w:adjustRightInd w:val="0"/>
        <w:spacing w:after="0"/>
        <w:ind w:firstLine="709"/>
        <w:jc w:val="both"/>
        <w:rPr>
          <w:rFonts w:ascii="Times New Roman" w:hAnsi="Times New Roman"/>
          <w:sz w:val="24"/>
          <w:szCs w:val="24"/>
        </w:rPr>
      </w:pPr>
      <w:r w:rsidRPr="00B806A7">
        <w:rPr>
          <w:rFonts w:ascii="Times New Roman" w:hAnsi="Times New Roman"/>
          <w:sz w:val="24"/>
          <w:szCs w:val="24"/>
        </w:rPr>
        <w:t>Пересмотр индивидуальных тарифов на 2025 год:</w:t>
      </w:r>
    </w:p>
    <w:p w:rsidR="000A4130" w:rsidRPr="00B806A7" w:rsidRDefault="000A4130" w:rsidP="000A17A8">
      <w:pPr>
        <w:autoSpaceDE w:val="0"/>
        <w:autoSpaceDN w:val="0"/>
        <w:adjustRightInd w:val="0"/>
        <w:spacing w:after="0"/>
        <w:ind w:firstLine="709"/>
        <w:jc w:val="both"/>
        <w:rPr>
          <w:rFonts w:ascii="Times New Roman" w:hAnsi="Times New Roman"/>
          <w:sz w:val="16"/>
          <w:szCs w:val="16"/>
        </w:rPr>
      </w:pPr>
    </w:p>
    <w:tbl>
      <w:tblPr>
        <w:tblStyle w:val="af1"/>
        <w:tblW w:w="10713" w:type="dxa"/>
        <w:tblLook w:val="04A0" w:firstRow="1" w:lastRow="0" w:firstColumn="1" w:lastColumn="0" w:noHBand="0" w:noVBand="1"/>
      </w:tblPr>
      <w:tblGrid>
        <w:gridCol w:w="3786"/>
        <w:gridCol w:w="1284"/>
        <w:gridCol w:w="1559"/>
        <w:gridCol w:w="1559"/>
        <w:gridCol w:w="1985"/>
        <w:gridCol w:w="21"/>
        <w:gridCol w:w="519"/>
      </w:tblGrid>
      <w:tr w:rsidR="002309BE" w:rsidRPr="00B806A7" w:rsidTr="00594030">
        <w:trPr>
          <w:gridAfter w:val="2"/>
          <w:wAfter w:w="540" w:type="dxa"/>
          <w:trHeight w:val="315"/>
        </w:trPr>
        <w:tc>
          <w:tcPr>
            <w:tcW w:w="3786" w:type="dxa"/>
            <w:vMerge w:val="restart"/>
            <w:noWrap/>
            <w:hideMark/>
          </w:tcPr>
          <w:p w:rsidR="002309BE" w:rsidRPr="00B806A7" w:rsidRDefault="002309BE" w:rsidP="006508B7">
            <w:pPr>
              <w:tabs>
                <w:tab w:val="left" w:pos="720"/>
              </w:tabs>
              <w:spacing w:after="0" w:line="240" w:lineRule="auto"/>
              <w:jc w:val="both"/>
              <w:rPr>
                <w:rFonts w:ascii="Times New Roman" w:hAnsi="Times New Roman"/>
                <w:b/>
                <w:bCs/>
                <w:sz w:val="18"/>
                <w:szCs w:val="18"/>
                <w:lang w:eastAsia="ru-RU"/>
              </w:rPr>
            </w:pPr>
            <w:r w:rsidRPr="00B806A7">
              <w:rPr>
                <w:rFonts w:ascii="Times New Roman" w:hAnsi="Times New Roman"/>
                <w:b/>
                <w:bCs/>
                <w:sz w:val="18"/>
                <w:szCs w:val="18"/>
                <w:lang w:eastAsia="ru-RU"/>
              </w:rPr>
              <w:t>Наименование</w:t>
            </w:r>
          </w:p>
        </w:tc>
        <w:tc>
          <w:tcPr>
            <w:tcW w:w="1284" w:type="dxa"/>
            <w:vMerge w:val="restart"/>
            <w:noWrap/>
            <w:hideMark/>
          </w:tcPr>
          <w:p w:rsidR="002309BE" w:rsidRPr="00B806A7" w:rsidRDefault="002309BE" w:rsidP="006508B7">
            <w:pPr>
              <w:tabs>
                <w:tab w:val="left" w:pos="720"/>
              </w:tabs>
              <w:spacing w:after="0" w:line="240" w:lineRule="auto"/>
              <w:jc w:val="both"/>
              <w:rPr>
                <w:rFonts w:ascii="Times New Roman" w:hAnsi="Times New Roman"/>
                <w:b/>
                <w:bCs/>
                <w:sz w:val="18"/>
                <w:szCs w:val="18"/>
                <w:lang w:eastAsia="ru-RU"/>
              </w:rPr>
            </w:pPr>
            <w:r w:rsidRPr="00B806A7">
              <w:rPr>
                <w:rFonts w:ascii="Times New Roman" w:hAnsi="Times New Roman"/>
                <w:b/>
                <w:bCs/>
                <w:sz w:val="18"/>
                <w:szCs w:val="18"/>
                <w:lang w:eastAsia="ru-RU"/>
              </w:rPr>
              <w:t>ед. изм.</w:t>
            </w:r>
          </w:p>
        </w:tc>
        <w:tc>
          <w:tcPr>
            <w:tcW w:w="1559" w:type="dxa"/>
            <w:vMerge w:val="restart"/>
            <w:hideMark/>
          </w:tcPr>
          <w:p w:rsidR="002309BE" w:rsidRPr="00B806A7" w:rsidRDefault="002309BE" w:rsidP="006508B7">
            <w:pPr>
              <w:tabs>
                <w:tab w:val="left" w:pos="720"/>
              </w:tabs>
              <w:spacing w:after="0" w:line="240" w:lineRule="auto"/>
              <w:jc w:val="both"/>
              <w:rPr>
                <w:rFonts w:ascii="Times New Roman" w:hAnsi="Times New Roman"/>
                <w:b/>
                <w:bCs/>
                <w:sz w:val="18"/>
                <w:szCs w:val="18"/>
                <w:lang w:eastAsia="ru-RU"/>
              </w:rPr>
            </w:pPr>
            <w:r w:rsidRPr="00B806A7">
              <w:rPr>
                <w:rFonts w:ascii="Times New Roman" w:hAnsi="Times New Roman"/>
                <w:b/>
                <w:bCs/>
                <w:sz w:val="18"/>
                <w:szCs w:val="18"/>
                <w:lang w:eastAsia="ru-RU"/>
              </w:rPr>
              <w:t>на 2025</w:t>
            </w:r>
          </w:p>
        </w:tc>
        <w:tc>
          <w:tcPr>
            <w:tcW w:w="3544" w:type="dxa"/>
            <w:gridSpan w:val="2"/>
            <w:hideMark/>
          </w:tcPr>
          <w:p w:rsidR="002309BE" w:rsidRPr="00B806A7" w:rsidRDefault="002309BE" w:rsidP="006508B7">
            <w:pPr>
              <w:tabs>
                <w:tab w:val="left" w:pos="720"/>
              </w:tabs>
              <w:spacing w:after="0" w:line="240" w:lineRule="auto"/>
              <w:jc w:val="both"/>
              <w:rPr>
                <w:rFonts w:ascii="Times New Roman" w:hAnsi="Times New Roman"/>
                <w:b/>
                <w:bCs/>
                <w:sz w:val="18"/>
                <w:szCs w:val="18"/>
                <w:lang w:eastAsia="ru-RU"/>
              </w:rPr>
            </w:pPr>
            <w:r w:rsidRPr="00B806A7">
              <w:rPr>
                <w:rFonts w:ascii="Times New Roman" w:hAnsi="Times New Roman"/>
                <w:b/>
                <w:bCs/>
                <w:sz w:val="18"/>
                <w:szCs w:val="18"/>
                <w:lang w:eastAsia="ru-RU"/>
              </w:rPr>
              <w:t>в т.ч.</w:t>
            </w:r>
          </w:p>
        </w:tc>
      </w:tr>
      <w:tr w:rsidR="002309BE" w:rsidRPr="00B806A7" w:rsidTr="00594030">
        <w:trPr>
          <w:gridAfter w:val="2"/>
          <w:wAfter w:w="540" w:type="dxa"/>
          <w:trHeight w:val="309"/>
        </w:trPr>
        <w:tc>
          <w:tcPr>
            <w:tcW w:w="3786" w:type="dxa"/>
            <w:vMerge/>
            <w:hideMark/>
          </w:tcPr>
          <w:p w:rsidR="002309BE" w:rsidRPr="00B806A7" w:rsidRDefault="002309BE" w:rsidP="006508B7">
            <w:pPr>
              <w:tabs>
                <w:tab w:val="left" w:pos="720"/>
              </w:tabs>
              <w:spacing w:after="0" w:line="240" w:lineRule="auto"/>
              <w:jc w:val="both"/>
              <w:rPr>
                <w:rFonts w:ascii="Times New Roman" w:hAnsi="Times New Roman"/>
                <w:b/>
                <w:bCs/>
                <w:sz w:val="18"/>
                <w:szCs w:val="18"/>
                <w:lang w:eastAsia="ru-RU"/>
              </w:rPr>
            </w:pPr>
          </w:p>
        </w:tc>
        <w:tc>
          <w:tcPr>
            <w:tcW w:w="1284" w:type="dxa"/>
            <w:vMerge/>
            <w:hideMark/>
          </w:tcPr>
          <w:p w:rsidR="002309BE" w:rsidRPr="00B806A7" w:rsidRDefault="002309BE" w:rsidP="006508B7">
            <w:pPr>
              <w:tabs>
                <w:tab w:val="left" w:pos="720"/>
              </w:tabs>
              <w:spacing w:after="0" w:line="240" w:lineRule="auto"/>
              <w:jc w:val="both"/>
              <w:rPr>
                <w:rFonts w:ascii="Times New Roman" w:hAnsi="Times New Roman"/>
                <w:b/>
                <w:bCs/>
                <w:sz w:val="18"/>
                <w:szCs w:val="18"/>
                <w:lang w:eastAsia="ru-RU"/>
              </w:rPr>
            </w:pPr>
          </w:p>
        </w:tc>
        <w:tc>
          <w:tcPr>
            <w:tcW w:w="1559" w:type="dxa"/>
            <w:vMerge/>
            <w:hideMark/>
          </w:tcPr>
          <w:p w:rsidR="002309BE" w:rsidRPr="00B806A7" w:rsidRDefault="002309BE" w:rsidP="006508B7">
            <w:pPr>
              <w:tabs>
                <w:tab w:val="left" w:pos="720"/>
              </w:tabs>
              <w:spacing w:after="0" w:line="240" w:lineRule="auto"/>
              <w:jc w:val="both"/>
              <w:rPr>
                <w:rFonts w:ascii="Times New Roman" w:hAnsi="Times New Roman"/>
                <w:b/>
                <w:bCs/>
                <w:sz w:val="18"/>
                <w:szCs w:val="18"/>
                <w:lang w:eastAsia="ru-RU"/>
              </w:rPr>
            </w:pPr>
          </w:p>
        </w:tc>
        <w:tc>
          <w:tcPr>
            <w:tcW w:w="1559" w:type="dxa"/>
            <w:hideMark/>
          </w:tcPr>
          <w:p w:rsidR="002309BE" w:rsidRPr="00B806A7" w:rsidRDefault="002309BE" w:rsidP="006508B7">
            <w:pPr>
              <w:tabs>
                <w:tab w:val="left" w:pos="720"/>
              </w:tabs>
              <w:spacing w:after="0" w:line="240" w:lineRule="auto"/>
              <w:jc w:val="both"/>
              <w:rPr>
                <w:rFonts w:ascii="Times New Roman" w:hAnsi="Times New Roman"/>
                <w:b/>
                <w:bCs/>
                <w:sz w:val="18"/>
                <w:szCs w:val="18"/>
                <w:lang w:eastAsia="ru-RU"/>
              </w:rPr>
            </w:pPr>
            <w:r w:rsidRPr="00B806A7">
              <w:rPr>
                <w:rFonts w:ascii="Times New Roman" w:hAnsi="Times New Roman"/>
                <w:b/>
                <w:bCs/>
                <w:sz w:val="18"/>
                <w:szCs w:val="18"/>
                <w:lang w:eastAsia="ru-RU"/>
              </w:rPr>
              <w:t>1 полугодие</w:t>
            </w:r>
          </w:p>
        </w:tc>
        <w:tc>
          <w:tcPr>
            <w:tcW w:w="1985" w:type="dxa"/>
            <w:hideMark/>
          </w:tcPr>
          <w:p w:rsidR="002309BE" w:rsidRPr="00B806A7" w:rsidRDefault="002309BE" w:rsidP="006508B7">
            <w:pPr>
              <w:tabs>
                <w:tab w:val="left" w:pos="720"/>
              </w:tabs>
              <w:spacing w:after="0" w:line="240" w:lineRule="auto"/>
              <w:jc w:val="both"/>
              <w:rPr>
                <w:rFonts w:ascii="Times New Roman" w:hAnsi="Times New Roman"/>
                <w:b/>
                <w:bCs/>
                <w:sz w:val="18"/>
                <w:szCs w:val="18"/>
                <w:lang w:eastAsia="ru-RU"/>
              </w:rPr>
            </w:pPr>
            <w:r w:rsidRPr="00B806A7">
              <w:rPr>
                <w:rFonts w:ascii="Times New Roman" w:hAnsi="Times New Roman"/>
                <w:b/>
                <w:bCs/>
                <w:sz w:val="18"/>
                <w:szCs w:val="18"/>
                <w:lang w:eastAsia="ru-RU"/>
              </w:rPr>
              <w:t>2 полугодие</w:t>
            </w:r>
          </w:p>
        </w:tc>
      </w:tr>
      <w:tr w:rsidR="002309BE" w:rsidRPr="00B806A7" w:rsidTr="00594030">
        <w:trPr>
          <w:gridAfter w:val="2"/>
          <w:wAfter w:w="540" w:type="dxa"/>
          <w:trHeight w:val="413"/>
        </w:trPr>
        <w:tc>
          <w:tcPr>
            <w:tcW w:w="3786" w:type="dxa"/>
            <w:hideMark/>
          </w:tcPr>
          <w:p w:rsidR="002309BE" w:rsidRPr="00B806A7" w:rsidRDefault="002309BE"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Суммарный сальдированный переток мощности</w:t>
            </w:r>
          </w:p>
        </w:tc>
        <w:tc>
          <w:tcPr>
            <w:tcW w:w="1284" w:type="dxa"/>
            <w:hideMark/>
          </w:tcPr>
          <w:p w:rsidR="002309BE" w:rsidRPr="00B806A7" w:rsidRDefault="002309BE"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МВт.</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70,546</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70,632</w:t>
            </w:r>
          </w:p>
        </w:tc>
        <w:tc>
          <w:tcPr>
            <w:tcW w:w="1985"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70,460</w:t>
            </w:r>
          </w:p>
        </w:tc>
      </w:tr>
      <w:tr w:rsidR="002309BE" w:rsidRPr="00B806A7" w:rsidTr="00594030">
        <w:trPr>
          <w:gridAfter w:val="2"/>
          <w:wAfter w:w="540" w:type="dxa"/>
          <w:trHeight w:val="315"/>
        </w:trPr>
        <w:tc>
          <w:tcPr>
            <w:tcW w:w="3786" w:type="dxa"/>
            <w:hideMark/>
          </w:tcPr>
          <w:p w:rsidR="002309BE" w:rsidRPr="00B806A7" w:rsidRDefault="002309BE"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НВВ на содержание сетей</w:t>
            </w:r>
          </w:p>
        </w:tc>
        <w:tc>
          <w:tcPr>
            <w:tcW w:w="1284" w:type="dxa"/>
            <w:hideMark/>
          </w:tcPr>
          <w:p w:rsidR="002309BE" w:rsidRPr="00B806A7" w:rsidRDefault="002309BE"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 xml:space="preserve">тыс.руб. </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209 320,0</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108 570,4</w:t>
            </w:r>
          </w:p>
        </w:tc>
        <w:tc>
          <w:tcPr>
            <w:tcW w:w="1985"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100 749,5</w:t>
            </w:r>
          </w:p>
        </w:tc>
      </w:tr>
      <w:tr w:rsidR="002309BE" w:rsidRPr="00B806A7" w:rsidTr="00594030">
        <w:trPr>
          <w:gridAfter w:val="2"/>
          <w:wAfter w:w="540" w:type="dxa"/>
          <w:trHeight w:val="381"/>
        </w:trPr>
        <w:tc>
          <w:tcPr>
            <w:tcW w:w="3786" w:type="dxa"/>
            <w:hideMark/>
          </w:tcPr>
          <w:p w:rsidR="002309BE" w:rsidRPr="00B806A7" w:rsidRDefault="002309BE" w:rsidP="006508B7">
            <w:pPr>
              <w:tabs>
                <w:tab w:val="left" w:pos="720"/>
              </w:tabs>
              <w:spacing w:after="0" w:line="240" w:lineRule="auto"/>
              <w:jc w:val="both"/>
              <w:rPr>
                <w:rFonts w:ascii="Times New Roman" w:hAnsi="Times New Roman"/>
                <w:b/>
                <w:bCs/>
                <w:sz w:val="18"/>
                <w:szCs w:val="18"/>
                <w:lang w:eastAsia="ru-RU"/>
              </w:rPr>
            </w:pPr>
            <w:r w:rsidRPr="00B806A7">
              <w:rPr>
                <w:rFonts w:ascii="Times New Roman" w:hAnsi="Times New Roman"/>
                <w:b/>
                <w:bCs/>
                <w:sz w:val="18"/>
                <w:szCs w:val="18"/>
                <w:lang w:eastAsia="ru-RU"/>
              </w:rPr>
              <w:t>Ставка на содержание</w:t>
            </w:r>
          </w:p>
        </w:tc>
        <w:tc>
          <w:tcPr>
            <w:tcW w:w="1284" w:type="dxa"/>
            <w:hideMark/>
          </w:tcPr>
          <w:p w:rsidR="002309BE" w:rsidRPr="00B806A7" w:rsidRDefault="002309BE" w:rsidP="006508B7">
            <w:pPr>
              <w:tabs>
                <w:tab w:val="left" w:pos="720"/>
              </w:tabs>
              <w:spacing w:after="0" w:line="240" w:lineRule="auto"/>
              <w:jc w:val="both"/>
              <w:rPr>
                <w:rFonts w:ascii="Times New Roman" w:hAnsi="Times New Roman"/>
                <w:b/>
                <w:bCs/>
                <w:sz w:val="18"/>
                <w:szCs w:val="18"/>
                <w:lang w:eastAsia="ru-RU"/>
              </w:rPr>
            </w:pPr>
            <w:r w:rsidRPr="00B806A7">
              <w:rPr>
                <w:rFonts w:ascii="Times New Roman" w:hAnsi="Times New Roman"/>
                <w:b/>
                <w:bCs/>
                <w:sz w:val="18"/>
                <w:szCs w:val="18"/>
                <w:lang w:eastAsia="ru-RU"/>
              </w:rPr>
              <w:t>руб/МВт.в мес.</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b/>
                <w:bCs/>
                <w:sz w:val="18"/>
                <w:szCs w:val="18"/>
                <w:lang w:eastAsia="ru-RU"/>
              </w:rPr>
            </w:pPr>
            <w:r w:rsidRPr="00B806A7">
              <w:rPr>
                <w:rFonts w:ascii="Times New Roman" w:hAnsi="Times New Roman"/>
                <w:b/>
                <w:bCs/>
                <w:sz w:val="18"/>
                <w:szCs w:val="18"/>
                <w:lang w:eastAsia="ru-RU"/>
              </w:rPr>
              <w:t>247 261,46</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b/>
                <w:bCs/>
                <w:sz w:val="18"/>
                <w:szCs w:val="18"/>
                <w:lang w:eastAsia="ru-RU"/>
              </w:rPr>
            </w:pPr>
            <w:r w:rsidRPr="00B806A7">
              <w:rPr>
                <w:rFonts w:ascii="Times New Roman" w:hAnsi="Times New Roman"/>
                <w:b/>
                <w:bCs/>
                <w:sz w:val="18"/>
                <w:szCs w:val="18"/>
                <w:lang w:eastAsia="ru-RU"/>
              </w:rPr>
              <w:t>256 186,96</w:t>
            </w:r>
          </w:p>
        </w:tc>
        <w:tc>
          <w:tcPr>
            <w:tcW w:w="1985" w:type="dxa"/>
            <w:hideMark/>
          </w:tcPr>
          <w:p w:rsidR="002309BE" w:rsidRPr="00B806A7" w:rsidRDefault="002309BE" w:rsidP="00594030">
            <w:pPr>
              <w:tabs>
                <w:tab w:val="left" w:pos="720"/>
              </w:tabs>
              <w:spacing w:after="0" w:line="240" w:lineRule="auto"/>
              <w:jc w:val="center"/>
              <w:rPr>
                <w:rFonts w:ascii="Times New Roman" w:hAnsi="Times New Roman"/>
                <w:b/>
                <w:bCs/>
                <w:sz w:val="18"/>
                <w:szCs w:val="18"/>
                <w:lang w:eastAsia="ru-RU"/>
              </w:rPr>
            </w:pPr>
            <w:r w:rsidRPr="00B806A7">
              <w:rPr>
                <w:rFonts w:ascii="Times New Roman" w:hAnsi="Times New Roman"/>
                <w:b/>
                <w:bCs/>
                <w:sz w:val="18"/>
                <w:szCs w:val="18"/>
                <w:lang w:eastAsia="ru-RU"/>
              </w:rPr>
              <w:t>238 314,13</w:t>
            </w:r>
          </w:p>
        </w:tc>
      </w:tr>
      <w:tr w:rsidR="002309BE" w:rsidRPr="00B806A7" w:rsidTr="00594030">
        <w:trPr>
          <w:gridAfter w:val="2"/>
          <w:wAfter w:w="540" w:type="dxa"/>
          <w:trHeight w:val="373"/>
        </w:trPr>
        <w:tc>
          <w:tcPr>
            <w:tcW w:w="3786" w:type="dxa"/>
            <w:hideMark/>
          </w:tcPr>
          <w:p w:rsidR="002309BE" w:rsidRPr="00B806A7" w:rsidRDefault="002309BE"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 xml:space="preserve">Суммарный сальдированный переток электрической энергии  </w:t>
            </w:r>
          </w:p>
        </w:tc>
        <w:tc>
          <w:tcPr>
            <w:tcW w:w="1284" w:type="dxa"/>
            <w:hideMark/>
          </w:tcPr>
          <w:p w:rsidR="002309BE" w:rsidRPr="00B806A7" w:rsidRDefault="002309BE"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млн. кВт.ч.</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672,928</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340,532</w:t>
            </w:r>
          </w:p>
        </w:tc>
        <w:tc>
          <w:tcPr>
            <w:tcW w:w="1985"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332,395</w:t>
            </w:r>
          </w:p>
        </w:tc>
      </w:tr>
      <w:tr w:rsidR="002309BE" w:rsidRPr="00B806A7" w:rsidTr="00594030">
        <w:trPr>
          <w:gridAfter w:val="2"/>
          <w:wAfter w:w="540" w:type="dxa"/>
          <w:trHeight w:val="380"/>
        </w:trPr>
        <w:tc>
          <w:tcPr>
            <w:tcW w:w="3786" w:type="dxa"/>
            <w:hideMark/>
          </w:tcPr>
          <w:p w:rsidR="002309BE" w:rsidRPr="00B806A7" w:rsidRDefault="002309BE"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Оплачиваемый СТСО полезный отпуск электрической энергии</w:t>
            </w:r>
          </w:p>
        </w:tc>
        <w:tc>
          <w:tcPr>
            <w:tcW w:w="1284" w:type="dxa"/>
            <w:hideMark/>
          </w:tcPr>
          <w:p w:rsidR="002309BE" w:rsidRPr="00B806A7" w:rsidRDefault="002309BE"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млн. кВт.ч.</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525,520</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262,987</w:t>
            </w:r>
          </w:p>
        </w:tc>
        <w:tc>
          <w:tcPr>
            <w:tcW w:w="1985"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262,533</w:t>
            </w:r>
          </w:p>
        </w:tc>
      </w:tr>
      <w:tr w:rsidR="002309BE" w:rsidRPr="00B806A7" w:rsidTr="00594030">
        <w:trPr>
          <w:gridAfter w:val="2"/>
          <w:wAfter w:w="540" w:type="dxa"/>
          <w:trHeight w:val="513"/>
        </w:trPr>
        <w:tc>
          <w:tcPr>
            <w:tcW w:w="3786" w:type="dxa"/>
            <w:hideMark/>
          </w:tcPr>
          <w:p w:rsidR="002309BE" w:rsidRPr="00B806A7" w:rsidRDefault="002309BE"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 xml:space="preserve">Технологический расход (потери) электрической энергии </w:t>
            </w:r>
          </w:p>
        </w:tc>
        <w:tc>
          <w:tcPr>
            <w:tcW w:w="1284" w:type="dxa"/>
            <w:hideMark/>
          </w:tcPr>
          <w:p w:rsidR="002309BE" w:rsidRPr="00B806A7" w:rsidRDefault="002309BE"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млн. кВт.ч.</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43,334</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21,929</w:t>
            </w:r>
          </w:p>
        </w:tc>
        <w:tc>
          <w:tcPr>
            <w:tcW w:w="1985"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21,405</w:t>
            </w:r>
          </w:p>
        </w:tc>
      </w:tr>
      <w:tr w:rsidR="002309BE" w:rsidRPr="00B806A7" w:rsidTr="00594030">
        <w:trPr>
          <w:gridAfter w:val="2"/>
          <w:wAfter w:w="540" w:type="dxa"/>
          <w:trHeight w:val="315"/>
        </w:trPr>
        <w:tc>
          <w:tcPr>
            <w:tcW w:w="3786" w:type="dxa"/>
            <w:hideMark/>
          </w:tcPr>
          <w:p w:rsidR="002309BE" w:rsidRPr="00B806A7" w:rsidRDefault="002309BE"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то же в процентах</w:t>
            </w:r>
          </w:p>
        </w:tc>
        <w:tc>
          <w:tcPr>
            <w:tcW w:w="1284" w:type="dxa"/>
            <w:hideMark/>
          </w:tcPr>
          <w:p w:rsidR="002309BE" w:rsidRPr="00B806A7" w:rsidRDefault="002309BE"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b/>
                <w:bCs/>
                <w:sz w:val="18"/>
                <w:szCs w:val="18"/>
                <w:lang w:eastAsia="ru-RU"/>
              </w:rPr>
            </w:pPr>
            <w:r w:rsidRPr="00B806A7">
              <w:rPr>
                <w:rFonts w:ascii="Times New Roman" w:hAnsi="Times New Roman"/>
                <w:b/>
                <w:bCs/>
                <w:sz w:val="18"/>
                <w:szCs w:val="18"/>
                <w:lang w:eastAsia="ru-RU"/>
              </w:rPr>
              <w:t>6,44</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b/>
                <w:bCs/>
                <w:sz w:val="18"/>
                <w:szCs w:val="18"/>
                <w:lang w:eastAsia="ru-RU"/>
              </w:rPr>
            </w:pPr>
            <w:r w:rsidRPr="00B806A7">
              <w:rPr>
                <w:rFonts w:ascii="Times New Roman" w:hAnsi="Times New Roman"/>
                <w:b/>
                <w:bCs/>
                <w:sz w:val="18"/>
                <w:szCs w:val="18"/>
                <w:lang w:eastAsia="ru-RU"/>
              </w:rPr>
              <w:t>6,44</w:t>
            </w:r>
          </w:p>
        </w:tc>
        <w:tc>
          <w:tcPr>
            <w:tcW w:w="1985" w:type="dxa"/>
            <w:hideMark/>
          </w:tcPr>
          <w:p w:rsidR="002309BE" w:rsidRPr="00B806A7" w:rsidRDefault="002309BE" w:rsidP="00594030">
            <w:pPr>
              <w:tabs>
                <w:tab w:val="left" w:pos="720"/>
              </w:tabs>
              <w:spacing w:after="0" w:line="240" w:lineRule="auto"/>
              <w:jc w:val="center"/>
              <w:rPr>
                <w:rFonts w:ascii="Times New Roman" w:hAnsi="Times New Roman"/>
                <w:b/>
                <w:bCs/>
                <w:sz w:val="18"/>
                <w:szCs w:val="18"/>
                <w:lang w:eastAsia="ru-RU"/>
              </w:rPr>
            </w:pPr>
            <w:r w:rsidRPr="00B806A7">
              <w:rPr>
                <w:rFonts w:ascii="Times New Roman" w:hAnsi="Times New Roman"/>
                <w:b/>
                <w:bCs/>
                <w:sz w:val="18"/>
                <w:szCs w:val="18"/>
                <w:lang w:eastAsia="ru-RU"/>
              </w:rPr>
              <w:t>6,44</w:t>
            </w:r>
          </w:p>
        </w:tc>
      </w:tr>
      <w:tr w:rsidR="002309BE" w:rsidRPr="00B806A7" w:rsidTr="00C04C08">
        <w:trPr>
          <w:gridAfter w:val="2"/>
          <w:wAfter w:w="540" w:type="dxa"/>
          <w:trHeight w:val="630"/>
        </w:trPr>
        <w:tc>
          <w:tcPr>
            <w:tcW w:w="3786" w:type="dxa"/>
            <w:hideMark/>
          </w:tcPr>
          <w:p w:rsidR="002309BE" w:rsidRPr="00B806A7" w:rsidRDefault="002309BE"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 xml:space="preserve">Тариф на оплату технологического расхода (потерь) электрической энергии </w:t>
            </w:r>
          </w:p>
        </w:tc>
        <w:tc>
          <w:tcPr>
            <w:tcW w:w="1284" w:type="dxa"/>
            <w:hideMark/>
          </w:tcPr>
          <w:p w:rsidR="002309BE" w:rsidRPr="00B806A7" w:rsidRDefault="002309BE"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руб/кВт.ч.</w:t>
            </w:r>
          </w:p>
        </w:tc>
        <w:tc>
          <w:tcPr>
            <w:tcW w:w="1559" w:type="dxa"/>
            <w:vAlign w:val="center"/>
            <w:hideMark/>
          </w:tcPr>
          <w:p w:rsidR="002309BE" w:rsidRPr="00B806A7" w:rsidRDefault="002309BE" w:rsidP="00C04C08">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3,33556</w:t>
            </w:r>
          </w:p>
        </w:tc>
        <w:tc>
          <w:tcPr>
            <w:tcW w:w="1559" w:type="dxa"/>
            <w:vAlign w:val="center"/>
            <w:hideMark/>
          </w:tcPr>
          <w:p w:rsidR="002309BE" w:rsidRPr="00B806A7" w:rsidRDefault="002309BE" w:rsidP="00C04C08">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3,33556</w:t>
            </w:r>
          </w:p>
        </w:tc>
        <w:tc>
          <w:tcPr>
            <w:tcW w:w="1985" w:type="dxa"/>
            <w:vAlign w:val="center"/>
            <w:hideMark/>
          </w:tcPr>
          <w:p w:rsidR="002309BE" w:rsidRPr="00B806A7" w:rsidRDefault="002309BE" w:rsidP="00C04C08">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3,33556</w:t>
            </w:r>
          </w:p>
        </w:tc>
      </w:tr>
      <w:tr w:rsidR="002309BE" w:rsidRPr="00B806A7" w:rsidTr="00C04C08">
        <w:trPr>
          <w:gridAfter w:val="2"/>
          <w:wAfter w:w="540" w:type="dxa"/>
          <w:trHeight w:val="630"/>
        </w:trPr>
        <w:tc>
          <w:tcPr>
            <w:tcW w:w="3786" w:type="dxa"/>
            <w:hideMark/>
          </w:tcPr>
          <w:p w:rsidR="002309BE" w:rsidRPr="00B806A7" w:rsidRDefault="002309BE"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 xml:space="preserve">НВВ на оплату технологического расхода (потерь) электрической энергии </w:t>
            </w:r>
          </w:p>
        </w:tc>
        <w:tc>
          <w:tcPr>
            <w:tcW w:w="1284" w:type="dxa"/>
            <w:hideMark/>
          </w:tcPr>
          <w:p w:rsidR="002309BE" w:rsidRPr="00B806A7" w:rsidRDefault="002309BE"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 xml:space="preserve">тыс.руб. </w:t>
            </w:r>
          </w:p>
        </w:tc>
        <w:tc>
          <w:tcPr>
            <w:tcW w:w="1559" w:type="dxa"/>
            <w:vAlign w:val="center"/>
            <w:hideMark/>
          </w:tcPr>
          <w:p w:rsidR="002309BE" w:rsidRPr="00B806A7" w:rsidRDefault="002309BE" w:rsidP="00C04C08">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144 542,82</w:t>
            </w:r>
          </w:p>
        </w:tc>
        <w:tc>
          <w:tcPr>
            <w:tcW w:w="1559" w:type="dxa"/>
            <w:vAlign w:val="center"/>
            <w:hideMark/>
          </w:tcPr>
          <w:p w:rsidR="002309BE" w:rsidRPr="00B806A7" w:rsidRDefault="002309BE" w:rsidP="00C04C08">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73 145,30</w:t>
            </w:r>
          </w:p>
        </w:tc>
        <w:tc>
          <w:tcPr>
            <w:tcW w:w="1985" w:type="dxa"/>
            <w:vAlign w:val="center"/>
            <w:hideMark/>
          </w:tcPr>
          <w:p w:rsidR="002309BE" w:rsidRPr="00B806A7" w:rsidRDefault="002309BE" w:rsidP="00C04C08">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71 397,52</w:t>
            </w:r>
          </w:p>
        </w:tc>
      </w:tr>
      <w:tr w:rsidR="002309BE" w:rsidRPr="00B806A7" w:rsidTr="00594030">
        <w:trPr>
          <w:gridAfter w:val="2"/>
          <w:wAfter w:w="540" w:type="dxa"/>
          <w:trHeight w:val="675"/>
        </w:trPr>
        <w:tc>
          <w:tcPr>
            <w:tcW w:w="3786" w:type="dxa"/>
            <w:hideMark/>
          </w:tcPr>
          <w:p w:rsidR="002309BE" w:rsidRPr="00B806A7" w:rsidRDefault="002309BE" w:rsidP="006508B7">
            <w:pPr>
              <w:tabs>
                <w:tab w:val="left" w:pos="720"/>
              </w:tabs>
              <w:spacing w:after="0" w:line="240" w:lineRule="auto"/>
              <w:jc w:val="both"/>
              <w:rPr>
                <w:rFonts w:ascii="Times New Roman" w:hAnsi="Times New Roman"/>
                <w:b/>
                <w:bCs/>
                <w:sz w:val="18"/>
                <w:szCs w:val="18"/>
                <w:lang w:eastAsia="ru-RU"/>
              </w:rPr>
            </w:pPr>
            <w:r w:rsidRPr="00B806A7">
              <w:rPr>
                <w:rFonts w:ascii="Times New Roman" w:hAnsi="Times New Roman"/>
                <w:b/>
                <w:bCs/>
                <w:sz w:val="18"/>
                <w:szCs w:val="18"/>
                <w:lang w:eastAsia="ru-RU"/>
              </w:rPr>
              <w:t xml:space="preserve">Ставка на оплату технологического расхода (потерь) электрической энергии </w:t>
            </w:r>
          </w:p>
        </w:tc>
        <w:tc>
          <w:tcPr>
            <w:tcW w:w="1284" w:type="dxa"/>
            <w:hideMark/>
          </w:tcPr>
          <w:p w:rsidR="002309BE" w:rsidRPr="00B806A7" w:rsidRDefault="002309BE" w:rsidP="006508B7">
            <w:pPr>
              <w:tabs>
                <w:tab w:val="left" w:pos="720"/>
              </w:tabs>
              <w:spacing w:after="0" w:line="240" w:lineRule="auto"/>
              <w:jc w:val="both"/>
              <w:rPr>
                <w:rFonts w:ascii="Times New Roman" w:hAnsi="Times New Roman"/>
                <w:b/>
                <w:bCs/>
                <w:sz w:val="18"/>
                <w:szCs w:val="18"/>
                <w:lang w:eastAsia="ru-RU"/>
              </w:rPr>
            </w:pPr>
            <w:r w:rsidRPr="00B806A7">
              <w:rPr>
                <w:rFonts w:ascii="Times New Roman" w:hAnsi="Times New Roman"/>
                <w:b/>
                <w:bCs/>
                <w:sz w:val="18"/>
                <w:szCs w:val="18"/>
                <w:lang w:eastAsia="ru-RU"/>
              </w:rPr>
              <w:t>руб/МВт.ч.</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b/>
                <w:bCs/>
                <w:sz w:val="18"/>
                <w:szCs w:val="18"/>
                <w:lang w:eastAsia="ru-RU"/>
              </w:rPr>
            </w:pPr>
            <w:r w:rsidRPr="00B806A7">
              <w:rPr>
                <w:rFonts w:ascii="Times New Roman" w:hAnsi="Times New Roman"/>
                <w:b/>
                <w:bCs/>
                <w:sz w:val="18"/>
                <w:szCs w:val="18"/>
                <w:lang w:eastAsia="ru-RU"/>
              </w:rPr>
              <w:t>275,05</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b/>
                <w:bCs/>
                <w:sz w:val="18"/>
                <w:szCs w:val="18"/>
                <w:lang w:eastAsia="ru-RU"/>
              </w:rPr>
            </w:pPr>
            <w:r w:rsidRPr="00B806A7">
              <w:rPr>
                <w:rFonts w:ascii="Times New Roman" w:hAnsi="Times New Roman"/>
                <w:b/>
                <w:bCs/>
                <w:sz w:val="18"/>
                <w:szCs w:val="18"/>
                <w:lang w:eastAsia="ru-RU"/>
              </w:rPr>
              <w:t>278,13</w:t>
            </w:r>
          </w:p>
        </w:tc>
        <w:tc>
          <w:tcPr>
            <w:tcW w:w="1985" w:type="dxa"/>
            <w:hideMark/>
          </w:tcPr>
          <w:p w:rsidR="002309BE" w:rsidRPr="00B806A7" w:rsidRDefault="002309BE" w:rsidP="00594030">
            <w:pPr>
              <w:tabs>
                <w:tab w:val="left" w:pos="720"/>
              </w:tabs>
              <w:spacing w:after="0" w:line="240" w:lineRule="auto"/>
              <w:jc w:val="center"/>
              <w:rPr>
                <w:rFonts w:ascii="Times New Roman" w:hAnsi="Times New Roman"/>
                <w:b/>
                <w:bCs/>
                <w:sz w:val="18"/>
                <w:szCs w:val="18"/>
                <w:lang w:eastAsia="ru-RU"/>
              </w:rPr>
            </w:pPr>
            <w:r w:rsidRPr="00B806A7">
              <w:rPr>
                <w:rFonts w:ascii="Times New Roman" w:hAnsi="Times New Roman"/>
                <w:b/>
                <w:bCs/>
                <w:sz w:val="18"/>
                <w:szCs w:val="18"/>
                <w:lang w:eastAsia="ru-RU"/>
              </w:rPr>
              <w:t>271,96</w:t>
            </w:r>
          </w:p>
        </w:tc>
      </w:tr>
      <w:tr w:rsidR="002309BE" w:rsidRPr="00B806A7" w:rsidTr="00594030">
        <w:trPr>
          <w:gridAfter w:val="2"/>
          <w:wAfter w:w="540" w:type="dxa"/>
          <w:trHeight w:val="315"/>
        </w:trPr>
        <w:tc>
          <w:tcPr>
            <w:tcW w:w="3786" w:type="dxa"/>
            <w:hideMark/>
          </w:tcPr>
          <w:p w:rsidR="002309BE" w:rsidRPr="00B806A7" w:rsidRDefault="002309BE" w:rsidP="006508B7">
            <w:pPr>
              <w:tabs>
                <w:tab w:val="left" w:pos="720"/>
              </w:tabs>
              <w:spacing w:after="0" w:line="240" w:lineRule="auto"/>
              <w:jc w:val="both"/>
              <w:rPr>
                <w:rFonts w:ascii="Times New Roman" w:hAnsi="Times New Roman"/>
                <w:b/>
                <w:bCs/>
                <w:sz w:val="18"/>
                <w:szCs w:val="18"/>
                <w:lang w:eastAsia="ru-RU"/>
              </w:rPr>
            </w:pPr>
            <w:r w:rsidRPr="00B806A7">
              <w:rPr>
                <w:rFonts w:ascii="Times New Roman" w:hAnsi="Times New Roman"/>
                <w:b/>
                <w:bCs/>
                <w:sz w:val="18"/>
                <w:szCs w:val="18"/>
                <w:lang w:eastAsia="ru-RU"/>
              </w:rPr>
              <w:t xml:space="preserve">Одноставочный тариф </w:t>
            </w:r>
          </w:p>
        </w:tc>
        <w:tc>
          <w:tcPr>
            <w:tcW w:w="1284" w:type="dxa"/>
            <w:hideMark/>
          </w:tcPr>
          <w:p w:rsidR="002309BE" w:rsidRPr="00B806A7" w:rsidRDefault="002309BE" w:rsidP="006508B7">
            <w:pPr>
              <w:tabs>
                <w:tab w:val="left" w:pos="720"/>
              </w:tabs>
              <w:spacing w:after="0" w:line="240" w:lineRule="auto"/>
              <w:jc w:val="both"/>
              <w:rPr>
                <w:rFonts w:ascii="Times New Roman" w:hAnsi="Times New Roman"/>
                <w:b/>
                <w:bCs/>
                <w:sz w:val="18"/>
                <w:szCs w:val="18"/>
                <w:lang w:eastAsia="ru-RU"/>
              </w:rPr>
            </w:pPr>
            <w:r w:rsidRPr="00B806A7">
              <w:rPr>
                <w:rFonts w:ascii="Times New Roman" w:hAnsi="Times New Roman"/>
                <w:b/>
                <w:bCs/>
                <w:sz w:val="18"/>
                <w:szCs w:val="18"/>
                <w:lang w:eastAsia="ru-RU"/>
              </w:rPr>
              <w:t>руб/кВт.ч.</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b/>
                <w:bCs/>
                <w:sz w:val="18"/>
                <w:szCs w:val="18"/>
                <w:lang w:eastAsia="ru-RU"/>
              </w:rPr>
            </w:pPr>
            <w:r w:rsidRPr="00B806A7">
              <w:rPr>
                <w:rFonts w:ascii="Times New Roman" w:hAnsi="Times New Roman"/>
                <w:b/>
                <w:bCs/>
                <w:sz w:val="18"/>
                <w:szCs w:val="18"/>
                <w:lang w:eastAsia="ru-RU"/>
              </w:rPr>
              <w:t>0,67336</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b/>
                <w:bCs/>
                <w:sz w:val="18"/>
                <w:szCs w:val="18"/>
                <w:lang w:eastAsia="ru-RU"/>
              </w:rPr>
            </w:pPr>
            <w:r w:rsidRPr="00B806A7">
              <w:rPr>
                <w:rFonts w:ascii="Times New Roman" w:hAnsi="Times New Roman"/>
                <w:b/>
                <w:bCs/>
                <w:sz w:val="18"/>
                <w:szCs w:val="18"/>
                <w:lang w:eastAsia="ru-RU"/>
              </w:rPr>
              <w:t>0,69097</w:t>
            </w:r>
          </w:p>
        </w:tc>
        <w:tc>
          <w:tcPr>
            <w:tcW w:w="1985" w:type="dxa"/>
            <w:hideMark/>
          </w:tcPr>
          <w:p w:rsidR="002309BE" w:rsidRPr="00B806A7" w:rsidRDefault="002309BE" w:rsidP="00594030">
            <w:pPr>
              <w:tabs>
                <w:tab w:val="left" w:pos="720"/>
              </w:tabs>
              <w:spacing w:after="0" w:line="240" w:lineRule="auto"/>
              <w:jc w:val="center"/>
              <w:rPr>
                <w:rFonts w:ascii="Times New Roman" w:hAnsi="Times New Roman"/>
                <w:b/>
                <w:bCs/>
                <w:sz w:val="18"/>
                <w:szCs w:val="18"/>
                <w:lang w:eastAsia="ru-RU"/>
              </w:rPr>
            </w:pPr>
            <w:r w:rsidRPr="00B806A7">
              <w:rPr>
                <w:rFonts w:ascii="Times New Roman" w:hAnsi="Times New Roman"/>
                <w:b/>
                <w:bCs/>
                <w:sz w:val="18"/>
                <w:szCs w:val="18"/>
                <w:lang w:eastAsia="ru-RU"/>
              </w:rPr>
              <w:t>0,65572</w:t>
            </w:r>
          </w:p>
        </w:tc>
      </w:tr>
      <w:tr w:rsidR="00594030" w:rsidRPr="00B806A7" w:rsidTr="00594030">
        <w:trPr>
          <w:trHeight w:val="315"/>
        </w:trPr>
        <w:tc>
          <w:tcPr>
            <w:tcW w:w="3786" w:type="dxa"/>
          </w:tcPr>
          <w:p w:rsidR="00594030" w:rsidRPr="00B806A7" w:rsidRDefault="00594030"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Рост ставок</w:t>
            </w:r>
            <w:r w:rsidR="00C04C08" w:rsidRPr="00B806A7">
              <w:rPr>
                <w:rFonts w:ascii="Times New Roman" w:hAnsi="Times New Roman"/>
                <w:sz w:val="18"/>
                <w:szCs w:val="18"/>
                <w:lang w:eastAsia="ru-RU"/>
              </w:rPr>
              <w:t>:</w:t>
            </w:r>
          </w:p>
        </w:tc>
        <w:tc>
          <w:tcPr>
            <w:tcW w:w="1284" w:type="dxa"/>
          </w:tcPr>
          <w:p w:rsidR="00594030" w:rsidRPr="00B806A7" w:rsidRDefault="00594030" w:rsidP="00594030">
            <w:pPr>
              <w:tabs>
                <w:tab w:val="left" w:pos="720"/>
              </w:tabs>
              <w:spacing w:after="0" w:line="240" w:lineRule="auto"/>
              <w:jc w:val="center"/>
              <w:rPr>
                <w:rFonts w:ascii="Times New Roman" w:hAnsi="Times New Roman"/>
                <w:b/>
                <w:bCs/>
                <w:sz w:val="18"/>
                <w:szCs w:val="18"/>
                <w:lang w:eastAsia="ru-RU"/>
              </w:rPr>
            </w:pPr>
            <w:r w:rsidRPr="00B806A7">
              <w:rPr>
                <w:rFonts w:ascii="Times New Roman" w:hAnsi="Times New Roman"/>
                <w:b/>
                <w:bCs/>
                <w:sz w:val="18"/>
                <w:szCs w:val="18"/>
                <w:lang w:eastAsia="ru-RU"/>
              </w:rPr>
              <w:t>%</w:t>
            </w:r>
          </w:p>
        </w:tc>
        <w:tc>
          <w:tcPr>
            <w:tcW w:w="1559" w:type="dxa"/>
          </w:tcPr>
          <w:p w:rsidR="00594030" w:rsidRPr="00B806A7" w:rsidRDefault="00594030" w:rsidP="00594030">
            <w:pPr>
              <w:tabs>
                <w:tab w:val="left" w:pos="720"/>
              </w:tabs>
              <w:spacing w:after="0" w:line="240" w:lineRule="auto"/>
              <w:jc w:val="center"/>
              <w:rPr>
                <w:rFonts w:ascii="Times New Roman" w:hAnsi="Times New Roman"/>
                <w:sz w:val="18"/>
                <w:szCs w:val="18"/>
                <w:lang w:eastAsia="ru-RU"/>
              </w:rPr>
            </w:pPr>
          </w:p>
        </w:tc>
        <w:tc>
          <w:tcPr>
            <w:tcW w:w="1559" w:type="dxa"/>
          </w:tcPr>
          <w:p w:rsidR="00594030" w:rsidRPr="00B806A7" w:rsidRDefault="00594030" w:rsidP="00594030">
            <w:pPr>
              <w:tabs>
                <w:tab w:val="left" w:pos="720"/>
              </w:tabs>
              <w:spacing w:after="0" w:line="240" w:lineRule="auto"/>
              <w:jc w:val="center"/>
              <w:rPr>
                <w:rFonts w:ascii="Times New Roman" w:hAnsi="Times New Roman"/>
                <w:sz w:val="18"/>
                <w:szCs w:val="18"/>
                <w:lang w:eastAsia="ru-RU"/>
              </w:rPr>
            </w:pPr>
          </w:p>
        </w:tc>
        <w:tc>
          <w:tcPr>
            <w:tcW w:w="2006" w:type="dxa"/>
            <w:gridSpan w:val="2"/>
          </w:tcPr>
          <w:p w:rsidR="00594030" w:rsidRPr="00B806A7" w:rsidRDefault="00594030" w:rsidP="00594030">
            <w:pPr>
              <w:tabs>
                <w:tab w:val="left" w:pos="720"/>
              </w:tabs>
              <w:spacing w:after="0" w:line="240" w:lineRule="auto"/>
              <w:jc w:val="center"/>
              <w:rPr>
                <w:rFonts w:ascii="Times New Roman" w:hAnsi="Times New Roman"/>
                <w:sz w:val="18"/>
                <w:szCs w:val="18"/>
                <w:lang w:eastAsia="ru-RU"/>
              </w:rPr>
            </w:pPr>
          </w:p>
        </w:tc>
        <w:tc>
          <w:tcPr>
            <w:tcW w:w="519" w:type="dxa"/>
            <w:tcBorders>
              <w:top w:val="nil"/>
            </w:tcBorders>
          </w:tcPr>
          <w:p w:rsidR="00594030" w:rsidRPr="00B806A7" w:rsidRDefault="00594030" w:rsidP="002309BE">
            <w:pPr>
              <w:tabs>
                <w:tab w:val="left" w:pos="720"/>
              </w:tabs>
              <w:spacing w:after="0" w:line="240" w:lineRule="auto"/>
              <w:jc w:val="both"/>
              <w:rPr>
                <w:rFonts w:ascii="Times New Roman" w:hAnsi="Times New Roman"/>
                <w:sz w:val="18"/>
                <w:szCs w:val="18"/>
                <w:lang w:eastAsia="ru-RU"/>
              </w:rPr>
            </w:pPr>
          </w:p>
        </w:tc>
      </w:tr>
      <w:tr w:rsidR="002309BE" w:rsidRPr="00B806A7" w:rsidTr="00594030">
        <w:trPr>
          <w:trHeight w:val="315"/>
        </w:trPr>
        <w:tc>
          <w:tcPr>
            <w:tcW w:w="3786" w:type="dxa"/>
            <w:hideMark/>
          </w:tcPr>
          <w:p w:rsidR="002309BE" w:rsidRPr="00B806A7" w:rsidRDefault="002309BE"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Ставка на содержание</w:t>
            </w:r>
          </w:p>
        </w:tc>
        <w:tc>
          <w:tcPr>
            <w:tcW w:w="1284" w:type="dxa"/>
            <w:hideMark/>
          </w:tcPr>
          <w:p w:rsidR="002309BE" w:rsidRPr="00B806A7" w:rsidRDefault="00594030" w:rsidP="00594030">
            <w:pPr>
              <w:tabs>
                <w:tab w:val="left" w:pos="720"/>
              </w:tabs>
              <w:spacing w:after="0" w:line="240" w:lineRule="auto"/>
              <w:jc w:val="center"/>
              <w:rPr>
                <w:rFonts w:ascii="Times New Roman" w:hAnsi="Times New Roman"/>
                <w:b/>
                <w:bCs/>
                <w:sz w:val="18"/>
                <w:szCs w:val="18"/>
                <w:lang w:eastAsia="ru-RU"/>
              </w:rPr>
            </w:pPr>
            <w:r w:rsidRPr="00B806A7">
              <w:rPr>
                <w:rFonts w:ascii="Times New Roman" w:hAnsi="Times New Roman"/>
                <w:b/>
                <w:bCs/>
                <w:sz w:val="18"/>
                <w:szCs w:val="18"/>
                <w:lang w:eastAsia="ru-RU"/>
              </w:rPr>
              <w:t>%</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114,8</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118,9</w:t>
            </w:r>
          </w:p>
        </w:tc>
        <w:tc>
          <w:tcPr>
            <w:tcW w:w="2006" w:type="dxa"/>
            <w:gridSpan w:val="2"/>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93,0</w:t>
            </w:r>
          </w:p>
        </w:tc>
        <w:tc>
          <w:tcPr>
            <w:tcW w:w="519" w:type="dxa"/>
            <w:vMerge w:val="restart"/>
            <w:tcBorders>
              <w:top w:val="nil"/>
            </w:tcBorders>
          </w:tcPr>
          <w:p w:rsidR="002309BE" w:rsidRPr="00B806A7" w:rsidRDefault="002309BE" w:rsidP="002309BE">
            <w:pPr>
              <w:tabs>
                <w:tab w:val="left" w:pos="720"/>
              </w:tabs>
              <w:spacing w:after="0" w:line="240" w:lineRule="auto"/>
              <w:jc w:val="both"/>
              <w:rPr>
                <w:rFonts w:ascii="Times New Roman" w:hAnsi="Times New Roman"/>
                <w:sz w:val="18"/>
                <w:szCs w:val="18"/>
                <w:lang w:eastAsia="ru-RU"/>
              </w:rPr>
            </w:pPr>
          </w:p>
        </w:tc>
      </w:tr>
      <w:tr w:rsidR="002309BE" w:rsidRPr="00B806A7" w:rsidTr="00594030">
        <w:trPr>
          <w:trHeight w:val="411"/>
        </w:trPr>
        <w:tc>
          <w:tcPr>
            <w:tcW w:w="3786" w:type="dxa"/>
            <w:hideMark/>
          </w:tcPr>
          <w:p w:rsidR="002309BE" w:rsidRPr="00B806A7" w:rsidRDefault="002309BE"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 xml:space="preserve">Ставка на оплату технологического расхода (потерь) электрической энергии </w:t>
            </w:r>
          </w:p>
        </w:tc>
        <w:tc>
          <w:tcPr>
            <w:tcW w:w="1284" w:type="dxa"/>
            <w:hideMark/>
          </w:tcPr>
          <w:p w:rsidR="002309BE" w:rsidRPr="00B806A7" w:rsidRDefault="00594030" w:rsidP="00594030">
            <w:pPr>
              <w:tabs>
                <w:tab w:val="left" w:pos="720"/>
              </w:tabs>
              <w:spacing w:after="0" w:line="240" w:lineRule="auto"/>
              <w:jc w:val="center"/>
              <w:rPr>
                <w:rFonts w:ascii="Times New Roman" w:hAnsi="Times New Roman"/>
                <w:b/>
                <w:bCs/>
                <w:sz w:val="18"/>
                <w:szCs w:val="18"/>
                <w:lang w:eastAsia="ru-RU"/>
              </w:rPr>
            </w:pPr>
            <w:r w:rsidRPr="00B806A7">
              <w:rPr>
                <w:rFonts w:ascii="Times New Roman" w:hAnsi="Times New Roman"/>
                <w:b/>
                <w:bCs/>
                <w:sz w:val="18"/>
                <w:szCs w:val="18"/>
                <w:lang w:eastAsia="ru-RU"/>
              </w:rPr>
              <w:t>%</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108,7</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110,0</w:t>
            </w:r>
          </w:p>
        </w:tc>
        <w:tc>
          <w:tcPr>
            <w:tcW w:w="2006" w:type="dxa"/>
            <w:gridSpan w:val="2"/>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97,8</w:t>
            </w:r>
          </w:p>
        </w:tc>
        <w:tc>
          <w:tcPr>
            <w:tcW w:w="519" w:type="dxa"/>
            <w:vMerge/>
          </w:tcPr>
          <w:p w:rsidR="002309BE" w:rsidRPr="00B806A7" w:rsidRDefault="002309BE" w:rsidP="002309BE">
            <w:pPr>
              <w:tabs>
                <w:tab w:val="left" w:pos="720"/>
              </w:tabs>
              <w:spacing w:after="0" w:line="240" w:lineRule="auto"/>
              <w:jc w:val="both"/>
              <w:rPr>
                <w:rFonts w:ascii="Times New Roman" w:hAnsi="Times New Roman"/>
                <w:sz w:val="18"/>
                <w:szCs w:val="18"/>
                <w:lang w:eastAsia="ru-RU"/>
              </w:rPr>
            </w:pPr>
          </w:p>
        </w:tc>
      </w:tr>
      <w:tr w:rsidR="002309BE" w:rsidRPr="00B806A7" w:rsidTr="00594030">
        <w:trPr>
          <w:trHeight w:val="315"/>
        </w:trPr>
        <w:tc>
          <w:tcPr>
            <w:tcW w:w="3786" w:type="dxa"/>
            <w:hideMark/>
          </w:tcPr>
          <w:p w:rsidR="002309BE" w:rsidRPr="00B806A7" w:rsidRDefault="002309BE" w:rsidP="006508B7">
            <w:pPr>
              <w:tabs>
                <w:tab w:val="left" w:pos="720"/>
              </w:tabs>
              <w:spacing w:after="0" w:line="240" w:lineRule="auto"/>
              <w:jc w:val="both"/>
              <w:rPr>
                <w:rFonts w:ascii="Times New Roman" w:hAnsi="Times New Roman"/>
                <w:sz w:val="18"/>
                <w:szCs w:val="18"/>
                <w:lang w:eastAsia="ru-RU"/>
              </w:rPr>
            </w:pPr>
            <w:r w:rsidRPr="00B806A7">
              <w:rPr>
                <w:rFonts w:ascii="Times New Roman" w:hAnsi="Times New Roman"/>
                <w:sz w:val="18"/>
                <w:szCs w:val="18"/>
                <w:lang w:eastAsia="ru-RU"/>
              </w:rPr>
              <w:t xml:space="preserve">Одноставочный тариф </w:t>
            </w:r>
          </w:p>
        </w:tc>
        <w:tc>
          <w:tcPr>
            <w:tcW w:w="1284" w:type="dxa"/>
            <w:hideMark/>
          </w:tcPr>
          <w:p w:rsidR="002309BE" w:rsidRPr="00B806A7" w:rsidRDefault="00594030"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112,0</w:t>
            </w:r>
          </w:p>
        </w:tc>
        <w:tc>
          <w:tcPr>
            <w:tcW w:w="1559" w:type="dxa"/>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115,0</w:t>
            </w:r>
          </w:p>
        </w:tc>
        <w:tc>
          <w:tcPr>
            <w:tcW w:w="2006" w:type="dxa"/>
            <w:gridSpan w:val="2"/>
            <w:hideMark/>
          </w:tcPr>
          <w:p w:rsidR="002309BE" w:rsidRPr="00B806A7" w:rsidRDefault="002309BE" w:rsidP="00594030">
            <w:pPr>
              <w:tabs>
                <w:tab w:val="left" w:pos="720"/>
              </w:tabs>
              <w:spacing w:after="0" w:line="240" w:lineRule="auto"/>
              <w:jc w:val="center"/>
              <w:rPr>
                <w:rFonts w:ascii="Times New Roman" w:hAnsi="Times New Roman"/>
                <w:sz w:val="18"/>
                <w:szCs w:val="18"/>
                <w:lang w:eastAsia="ru-RU"/>
              </w:rPr>
            </w:pPr>
            <w:r w:rsidRPr="00B806A7">
              <w:rPr>
                <w:rFonts w:ascii="Times New Roman" w:hAnsi="Times New Roman"/>
                <w:sz w:val="18"/>
                <w:szCs w:val="18"/>
                <w:lang w:eastAsia="ru-RU"/>
              </w:rPr>
              <w:t>94,9</w:t>
            </w:r>
          </w:p>
        </w:tc>
        <w:tc>
          <w:tcPr>
            <w:tcW w:w="519" w:type="dxa"/>
            <w:vMerge/>
            <w:tcBorders>
              <w:bottom w:val="nil"/>
            </w:tcBorders>
          </w:tcPr>
          <w:p w:rsidR="002309BE" w:rsidRPr="00B806A7" w:rsidRDefault="002309BE" w:rsidP="002309BE">
            <w:pPr>
              <w:tabs>
                <w:tab w:val="left" w:pos="720"/>
              </w:tabs>
              <w:spacing w:after="0" w:line="240" w:lineRule="auto"/>
              <w:jc w:val="both"/>
              <w:rPr>
                <w:rFonts w:ascii="Times New Roman" w:hAnsi="Times New Roman"/>
                <w:sz w:val="18"/>
                <w:szCs w:val="18"/>
                <w:lang w:eastAsia="ru-RU"/>
              </w:rPr>
            </w:pPr>
          </w:p>
        </w:tc>
      </w:tr>
    </w:tbl>
    <w:p w:rsidR="007150DD" w:rsidRPr="00B806A7" w:rsidRDefault="007150DD" w:rsidP="00F94FE2">
      <w:pPr>
        <w:tabs>
          <w:tab w:val="left" w:pos="720"/>
        </w:tabs>
        <w:spacing w:after="0" w:line="240" w:lineRule="auto"/>
        <w:jc w:val="both"/>
        <w:rPr>
          <w:rFonts w:ascii="Times New Roman" w:hAnsi="Times New Roman"/>
          <w:sz w:val="18"/>
          <w:szCs w:val="18"/>
          <w:lang w:eastAsia="ru-RU"/>
        </w:rPr>
      </w:pPr>
    </w:p>
    <w:p w:rsidR="007150DD" w:rsidRPr="00B806A7" w:rsidRDefault="00594030" w:rsidP="00F94FE2">
      <w:pPr>
        <w:tabs>
          <w:tab w:val="left" w:pos="720"/>
        </w:tabs>
        <w:spacing w:after="0" w:line="240" w:lineRule="auto"/>
        <w:jc w:val="both"/>
        <w:rPr>
          <w:rFonts w:ascii="Times New Roman" w:hAnsi="Times New Roman"/>
          <w:sz w:val="24"/>
          <w:szCs w:val="24"/>
          <w:lang w:eastAsia="ru-RU"/>
        </w:rPr>
      </w:pPr>
      <w:r w:rsidRPr="00B806A7">
        <w:rPr>
          <w:rFonts w:ascii="Times New Roman" w:hAnsi="Times New Roman"/>
          <w:sz w:val="24"/>
          <w:szCs w:val="24"/>
          <w:lang w:eastAsia="ru-RU"/>
        </w:rPr>
        <w:t>Расчетные и обосновывающие материалы прилагаются к настоящему заключению на электронном носителе.</w:t>
      </w:r>
    </w:p>
    <w:p w:rsidR="00C04C08" w:rsidRPr="00B806A7" w:rsidRDefault="00C04C08" w:rsidP="00F94FE2">
      <w:pPr>
        <w:tabs>
          <w:tab w:val="left" w:pos="720"/>
        </w:tabs>
        <w:spacing w:after="0" w:line="240" w:lineRule="auto"/>
        <w:jc w:val="both"/>
        <w:rPr>
          <w:rFonts w:ascii="Times New Roman" w:hAnsi="Times New Roman"/>
          <w:sz w:val="24"/>
          <w:szCs w:val="24"/>
          <w:lang w:eastAsia="ru-RU"/>
        </w:rPr>
      </w:pPr>
    </w:p>
    <w:p w:rsidR="00C04C08" w:rsidRPr="00B806A7" w:rsidRDefault="00C04C08" w:rsidP="00F94FE2">
      <w:pPr>
        <w:tabs>
          <w:tab w:val="left" w:pos="720"/>
        </w:tabs>
        <w:spacing w:after="0" w:line="240" w:lineRule="auto"/>
        <w:jc w:val="both"/>
        <w:rPr>
          <w:rFonts w:ascii="Times New Roman" w:hAnsi="Times New Roman"/>
          <w:sz w:val="24"/>
          <w:szCs w:val="24"/>
          <w:lang w:eastAsia="ru-RU"/>
        </w:rPr>
      </w:pPr>
    </w:p>
    <w:p w:rsidR="007E2D09" w:rsidRPr="00B806A7" w:rsidRDefault="007E2D09" w:rsidP="00F94FE2">
      <w:pPr>
        <w:tabs>
          <w:tab w:val="left" w:pos="720"/>
        </w:tabs>
        <w:spacing w:after="0" w:line="240" w:lineRule="auto"/>
        <w:jc w:val="both"/>
        <w:rPr>
          <w:rFonts w:ascii="Times New Roman" w:hAnsi="Times New Roman"/>
          <w:sz w:val="24"/>
          <w:szCs w:val="24"/>
          <w:lang w:eastAsia="ru-RU"/>
        </w:rPr>
      </w:pPr>
      <w:r w:rsidRPr="00B806A7">
        <w:rPr>
          <w:rFonts w:ascii="Times New Roman" w:hAnsi="Times New Roman"/>
          <w:sz w:val="24"/>
          <w:szCs w:val="24"/>
          <w:lang w:eastAsia="ru-RU"/>
        </w:rPr>
        <w:t xml:space="preserve">Начальник отдела регулирования </w:t>
      </w:r>
    </w:p>
    <w:p w:rsidR="002108EF" w:rsidRPr="00B806A7" w:rsidRDefault="007E2D09" w:rsidP="00F94FE2">
      <w:pPr>
        <w:tabs>
          <w:tab w:val="left" w:pos="720"/>
        </w:tabs>
        <w:spacing w:after="0" w:line="240" w:lineRule="auto"/>
        <w:jc w:val="both"/>
        <w:rPr>
          <w:rFonts w:ascii="Times New Roman" w:hAnsi="Times New Roman"/>
          <w:sz w:val="24"/>
          <w:szCs w:val="24"/>
          <w:lang w:eastAsia="ru-RU"/>
        </w:rPr>
      </w:pPr>
      <w:r w:rsidRPr="00B806A7">
        <w:rPr>
          <w:rFonts w:ascii="Times New Roman" w:hAnsi="Times New Roman"/>
          <w:sz w:val="24"/>
          <w:szCs w:val="24"/>
          <w:lang w:eastAsia="ru-RU"/>
        </w:rPr>
        <w:t xml:space="preserve">электроэнергетики                                                                             </w:t>
      </w:r>
      <w:r w:rsidR="002108EF" w:rsidRPr="00B806A7">
        <w:rPr>
          <w:rFonts w:ascii="Times New Roman" w:hAnsi="Times New Roman"/>
          <w:sz w:val="24"/>
          <w:szCs w:val="24"/>
          <w:lang w:eastAsia="ru-RU"/>
        </w:rPr>
        <w:t xml:space="preserve">      </w:t>
      </w:r>
      <w:r w:rsidRPr="00B806A7">
        <w:rPr>
          <w:rFonts w:ascii="Times New Roman" w:hAnsi="Times New Roman"/>
          <w:sz w:val="24"/>
          <w:szCs w:val="24"/>
          <w:lang w:eastAsia="ru-RU"/>
        </w:rPr>
        <w:t xml:space="preserve">   </w:t>
      </w:r>
      <w:r w:rsidR="00832433" w:rsidRPr="00B806A7">
        <w:rPr>
          <w:rFonts w:ascii="Times New Roman" w:hAnsi="Times New Roman"/>
          <w:sz w:val="24"/>
          <w:szCs w:val="24"/>
          <w:lang w:eastAsia="ru-RU"/>
        </w:rPr>
        <w:t xml:space="preserve">    </w:t>
      </w:r>
      <w:r w:rsidRPr="00B806A7">
        <w:rPr>
          <w:rFonts w:ascii="Times New Roman" w:hAnsi="Times New Roman"/>
          <w:sz w:val="24"/>
          <w:szCs w:val="24"/>
          <w:lang w:eastAsia="ru-RU"/>
        </w:rPr>
        <w:t xml:space="preserve">  </w:t>
      </w:r>
      <w:r w:rsidR="000A17A8" w:rsidRPr="00B806A7">
        <w:rPr>
          <w:rFonts w:ascii="Times New Roman" w:hAnsi="Times New Roman"/>
          <w:sz w:val="24"/>
          <w:szCs w:val="24"/>
          <w:lang w:eastAsia="ru-RU"/>
        </w:rPr>
        <w:t xml:space="preserve">        </w:t>
      </w:r>
      <w:r w:rsidR="00A075E4" w:rsidRPr="00B806A7">
        <w:rPr>
          <w:rFonts w:ascii="Times New Roman" w:hAnsi="Times New Roman"/>
          <w:sz w:val="24"/>
          <w:szCs w:val="24"/>
          <w:lang w:eastAsia="ru-RU"/>
        </w:rPr>
        <w:t>Меленчук</w:t>
      </w:r>
      <w:r w:rsidRPr="00B806A7">
        <w:rPr>
          <w:rFonts w:ascii="Times New Roman" w:hAnsi="Times New Roman"/>
          <w:sz w:val="24"/>
          <w:szCs w:val="24"/>
          <w:lang w:eastAsia="ru-RU"/>
        </w:rPr>
        <w:t xml:space="preserve"> А. </w:t>
      </w:r>
      <w:r w:rsidR="00A075E4" w:rsidRPr="00B806A7">
        <w:rPr>
          <w:rFonts w:ascii="Times New Roman" w:hAnsi="Times New Roman"/>
          <w:sz w:val="24"/>
          <w:szCs w:val="24"/>
          <w:lang w:eastAsia="ru-RU"/>
        </w:rPr>
        <w:t>А</w:t>
      </w:r>
      <w:r w:rsidRPr="00B806A7">
        <w:rPr>
          <w:rFonts w:ascii="Times New Roman" w:hAnsi="Times New Roman"/>
          <w:sz w:val="24"/>
          <w:szCs w:val="24"/>
          <w:lang w:eastAsia="ru-RU"/>
        </w:rPr>
        <w:t xml:space="preserve">.  </w:t>
      </w:r>
    </w:p>
    <w:p w:rsidR="002108EF" w:rsidRPr="00B806A7" w:rsidRDefault="002108EF" w:rsidP="00F94FE2">
      <w:pPr>
        <w:tabs>
          <w:tab w:val="left" w:pos="720"/>
        </w:tabs>
        <w:spacing w:after="0" w:line="240" w:lineRule="auto"/>
        <w:jc w:val="both"/>
        <w:rPr>
          <w:rFonts w:ascii="Times New Roman" w:hAnsi="Times New Roman"/>
          <w:sz w:val="20"/>
          <w:szCs w:val="20"/>
          <w:lang w:eastAsia="ru-RU"/>
        </w:rPr>
      </w:pPr>
    </w:p>
    <w:p w:rsidR="002108EF" w:rsidRPr="00B806A7" w:rsidRDefault="002108EF" w:rsidP="00F94FE2">
      <w:pPr>
        <w:tabs>
          <w:tab w:val="left" w:pos="720"/>
        </w:tabs>
        <w:spacing w:after="0" w:line="240" w:lineRule="auto"/>
        <w:jc w:val="both"/>
        <w:rPr>
          <w:rFonts w:ascii="Times New Roman" w:hAnsi="Times New Roman"/>
          <w:sz w:val="20"/>
          <w:szCs w:val="20"/>
          <w:lang w:eastAsia="ru-RU"/>
        </w:rPr>
      </w:pPr>
    </w:p>
    <w:p w:rsidR="002108EF" w:rsidRPr="00B806A7" w:rsidRDefault="002108EF" w:rsidP="00F94FE2">
      <w:pPr>
        <w:tabs>
          <w:tab w:val="left" w:pos="720"/>
        </w:tabs>
        <w:spacing w:after="0" w:line="240" w:lineRule="auto"/>
        <w:jc w:val="both"/>
        <w:rPr>
          <w:rFonts w:ascii="Times New Roman" w:hAnsi="Times New Roman"/>
          <w:sz w:val="20"/>
          <w:szCs w:val="20"/>
          <w:lang w:eastAsia="ru-RU"/>
        </w:rPr>
      </w:pPr>
    </w:p>
    <w:p w:rsidR="002108EF" w:rsidRPr="00B806A7" w:rsidRDefault="002108EF" w:rsidP="00F94FE2">
      <w:pPr>
        <w:tabs>
          <w:tab w:val="left" w:pos="720"/>
        </w:tabs>
        <w:spacing w:after="0" w:line="240" w:lineRule="auto"/>
        <w:jc w:val="both"/>
        <w:rPr>
          <w:rFonts w:ascii="Times New Roman" w:hAnsi="Times New Roman"/>
          <w:sz w:val="20"/>
          <w:szCs w:val="20"/>
          <w:lang w:eastAsia="ru-RU"/>
        </w:rPr>
      </w:pPr>
    </w:p>
    <w:p w:rsidR="007E2D09" w:rsidRPr="00283B4F" w:rsidRDefault="002C669B" w:rsidP="00F94FE2">
      <w:pPr>
        <w:tabs>
          <w:tab w:val="left" w:pos="720"/>
        </w:tabs>
        <w:spacing w:after="0" w:line="240" w:lineRule="auto"/>
        <w:jc w:val="both"/>
        <w:rPr>
          <w:rFonts w:ascii="Times New Roman" w:hAnsi="Times New Roman"/>
          <w:sz w:val="24"/>
          <w:szCs w:val="24"/>
          <w:lang w:eastAsia="ru-RU"/>
        </w:rPr>
      </w:pPr>
      <w:r w:rsidRPr="00B806A7">
        <w:rPr>
          <w:rFonts w:ascii="Times New Roman" w:hAnsi="Times New Roman"/>
          <w:sz w:val="20"/>
          <w:szCs w:val="20"/>
          <w:lang w:eastAsia="ru-RU"/>
        </w:rPr>
        <w:t>Исполнитель Арбузова О.Б</w:t>
      </w:r>
      <w:r w:rsidRPr="00B806A7">
        <w:rPr>
          <w:rFonts w:ascii="Times New Roman" w:hAnsi="Times New Roman"/>
          <w:sz w:val="24"/>
          <w:szCs w:val="24"/>
          <w:lang w:eastAsia="ru-RU"/>
        </w:rPr>
        <w:t>.</w:t>
      </w:r>
      <w:bookmarkStart w:id="0" w:name="_GoBack"/>
      <w:bookmarkEnd w:id="0"/>
      <w:r w:rsidR="007E2D09">
        <w:rPr>
          <w:rFonts w:ascii="Times New Roman" w:hAnsi="Times New Roman"/>
          <w:sz w:val="24"/>
          <w:szCs w:val="24"/>
          <w:lang w:eastAsia="ru-RU"/>
        </w:rPr>
        <w:t xml:space="preserve">                                                                 </w:t>
      </w:r>
    </w:p>
    <w:sectPr w:rsidR="007E2D09" w:rsidRPr="00283B4F" w:rsidSect="008F0898">
      <w:headerReference w:type="default" r:id="rId32"/>
      <w:pgSz w:w="11906" w:h="16838" w:code="9"/>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8B7" w:rsidRDefault="006508B7" w:rsidP="00477B46">
      <w:pPr>
        <w:spacing w:after="0" w:line="240" w:lineRule="auto"/>
      </w:pPr>
      <w:r>
        <w:separator/>
      </w:r>
    </w:p>
  </w:endnote>
  <w:endnote w:type="continuationSeparator" w:id="0">
    <w:p w:rsidR="006508B7" w:rsidRDefault="006508B7" w:rsidP="00477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8B7" w:rsidRDefault="006508B7" w:rsidP="00477B46">
      <w:pPr>
        <w:spacing w:after="0" w:line="240" w:lineRule="auto"/>
      </w:pPr>
      <w:r>
        <w:separator/>
      </w:r>
    </w:p>
  </w:footnote>
  <w:footnote w:type="continuationSeparator" w:id="0">
    <w:p w:rsidR="006508B7" w:rsidRDefault="006508B7" w:rsidP="00477B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8B7" w:rsidRDefault="006508B7">
    <w:pPr>
      <w:pStyle w:val="ad"/>
      <w:jc w:val="center"/>
    </w:pPr>
    <w:r>
      <w:fldChar w:fldCharType="begin"/>
    </w:r>
    <w:r>
      <w:instrText>PAGE   \* MERGEFORMAT</w:instrText>
    </w:r>
    <w:r>
      <w:fldChar w:fldCharType="separate"/>
    </w:r>
    <w:r w:rsidR="00B806A7">
      <w:rPr>
        <w:noProof/>
      </w:rPr>
      <w:t>71</w:t>
    </w:r>
    <w:r>
      <w:rPr>
        <w:noProof/>
      </w:rPr>
      <w:fldChar w:fldCharType="end"/>
    </w:r>
  </w:p>
  <w:p w:rsidR="006508B7" w:rsidRDefault="006508B7">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E48CF"/>
    <w:multiLevelType w:val="hybridMultilevel"/>
    <w:tmpl w:val="E966B60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D7550A"/>
    <w:multiLevelType w:val="hybridMultilevel"/>
    <w:tmpl w:val="4E8229D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EAF1499"/>
    <w:multiLevelType w:val="hybridMultilevel"/>
    <w:tmpl w:val="82BE2D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0A54D86"/>
    <w:multiLevelType w:val="hybridMultilevel"/>
    <w:tmpl w:val="4A924222"/>
    <w:lvl w:ilvl="0" w:tplc="3FD43674">
      <w:start w:val="6"/>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C81934"/>
    <w:multiLevelType w:val="hybridMultilevel"/>
    <w:tmpl w:val="F82672AE"/>
    <w:lvl w:ilvl="0" w:tplc="73DC5A6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1FA36644"/>
    <w:multiLevelType w:val="hybridMultilevel"/>
    <w:tmpl w:val="6922DB38"/>
    <w:lvl w:ilvl="0" w:tplc="F670E1A0">
      <w:start w:val="1"/>
      <w:numFmt w:val="decimal"/>
      <w:lvlText w:val="%1."/>
      <w:lvlJc w:val="left"/>
      <w:pPr>
        <w:ind w:left="927" w:hanging="360"/>
      </w:pPr>
      <w:rPr>
        <w:rFonts w:hint="default"/>
        <w:b/>
        <w:u w:val="singl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2D0448B"/>
    <w:multiLevelType w:val="hybridMultilevel"/>
    <w:tmpl w:val="92DA1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BE1927"/>
    <w:multiLevelType w:val="hybridMultilevel"/>
    <w:tmpl w:val="0DF6E4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2CE8768B"/>
    <w:multiLevelType w:val="hybridMultilevel"/>
    <w:tmpl w:val="9DAC5964"/>
    <w:lvl w:ilvl="0" w:tplc="C1CE78BC">
      <w:start w:val="1"/>
      <w:numFmt w:val="decimal"/>
      <w:lvlText w:val="%1)"/>
      <w:lvlJc w:val="left"/>
      <w:pPr>
        <w:ind w:left="1069" w:hanging="360"/>
      </w:pPr>
      <w:rPr>
        <w:rFonts w:ascii="Times New Roman" w:eastAsia="Times New Roman" w:hAnsi="Times New Roman" w:cs="Times New Roman"/>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9F07B8E"/>
    <w:multiLevelType w:val="multilevel"/>
    <w:tmpl w:val="F1F49F1C"/>
    <w:lvl w:ilvl="0">
      <w:start w:val="1"/>
      <w:numFmt w:val="decimal"/>
      <w:lvlText w:val="%1."/>
      <w:lvlJc w:val="left"/>
      <w:pPr>
        <w:ind w:left="720" w:hanging="360"/>
      </w:pPr>
      <w:rPr>
        <w:rFonts w:cs="Times New Roman" w:hint="default"/>
      </w:rPr>
    </w:lvl>
    <w:lvl w:ilvl="1">
      <w:start w:val="4"/>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0">
    <w:nsid w:val="3D326B50"/>
    <w:multiLevelType w:val="hybridMultilevel"/>
    <w:tmpl w:val="80A25B3E"/>
    <w:lvl w:ilvl="0" w:tplc="2CF4D1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D4C3A23"/>
    <w:multiLevelType w:val="hybridMultilevel"/>
    <w:tmpl w:val="3D5A2B9C"/>
    <w:lvl w:ilvl="0" w:tplc="3ADC51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F5E2D17"/>
    <w:multiLevelType w:val="hybridMultilevel"/>
    <w:tmpl w:val="1E669D90"/>
    <w:lvl w:ilvl="0" w:tplc="38C41D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0105447"/>
    <w:multiLevelType w:val="hybridMultilevel"/>
    <w:tmpl w:val="CDF615CE"/>
    <w:lvl w:ilvl="0" w:tplc="0FA0A99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0FD785D"/>
    <w:multiLevelType w:val="hybridMultilevel"/>
    <w:tmpl w:val="939646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1965545"/>
    <w:multiLevelType w:val="hybridMultilevel"/>
    <w:tmpl w:val="E654D218"/>
    <w:lvl w:ilvl="0" w:tplc="E070D5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29923A4"/>
    <w:multiLevelType w:val="hybridMultilevel"/>
    <w:tmpl w:val="F342D82E"/>
    <w:lvl w:ilvl="0" w:tplc="38C41D94">
      <w:start w:val="1"/>
      <w:numFmt w:val="bullet"/>
      <w:lvlText w:val=""/>
      <w:lvlJc w:val="left"/>
      <w:pPr>
        <w:ind w:left="2160" w:hanging="360"/>
      </w:pPr>
      <w:rPr>
        <w:rFonts w:ascii="Symbol" w:hAnsi="Symbol" w:hint="default"/>
      </w:rPr>
    </w:lvl>
    <w:lvl w:ilvl="1" w:tplc="04190003">
      <w:start w:val="1"/>
      <w:numFmt w:val="bullet"/>
      <w:lvlText w:val="o"/>
      <w:lvlJc w:val="left"/>
      <w:pPr>
        <w:ind w:left="2880" w:hanging="360"/>
      </w:pPr>
      <w:rPr>
        <w:rFonts w:ascii="Courier New" w:hAnsi="Courier New" w:hint="default"/>
      </w:rPr>
    </w:lvl>
    <w:lvl w:ilvl="2" w:tplc="04190005">
      <w:start w:val="1"/>
      <w:numFmt w:val="bullet"/>
      <w:lvlText w:val=""/>
      <w:lvlJc w:val="left"/>
      <w:pPr>
        <w:ind w:left="3600" w:hanging="360"/>
      </w:pPr>
      <w:rPr>
        <w:rFonts w:ascii="Wingdings" w:hAnsi="Wingdings" w:hint="default"/>
      </w:rPr>
    </w:lvl>
    <w:lvl w:ilvl="3" w:tplc="04190001">
      <w:start w:val="1"/>
      <w:numFmt w:val="bullet"/>
      <w:lvlText w:val=""/>
      <w:lvlJc w:val="left"/>
      <w:pPr>
        <w:ind w:left="4320" w:hanging="360"/>
      </w:pPr>
      <w:rPr>
        <w:rFonts w:ascii="Symbol" w:hAnsi="Symbol" w:hint="default"/>
      </w:rPr>
    </w:lvl>
    <w:lvl w:ilvl="4" w:tplc="04190003">
      <w:start w:val="1"/>
      <w:numFmt w:val="bullet"/>
      <w:lvlText w:val="o"/>
      <w:lvlJc w:val="left"/>
      <w:pPr>
        <w:ind w:left="5040" w:hanging="360"/>
      </w:pPr>
      <w:rPr>
        <w:rFonts w:ascii="Courier New" w:hAnsi="Courier New" w:hint="default"/>
      </w:rPr>
    </w:lvl>
    <w:lvl w:ilvl="5" w:tplc="04190005">
      <w:start w:val="1"/>
      <w:numFmt w:val="bullet"/>
      <w:lvlText w:val=""/>
      <w:lvlJc w:val="left"/>
      <w:pPr>
        <w:ind w:left="5760" w:hanging="360"/>
      </w:pPr>
      <w:rPr>
        <w:rFonts w:ascii="Wingdings" w:hAnsi="Wingdings" w:hint="default"/>
      </w:rPr>
    </w:lvl>
    <w:lvl w:ilvl="6" w:tplc="04190001">
      <w:start w:val="1"/>
      <w:numFmt w:val="bullet"/>
      <w:lvlText w:val=""/>
      <w:lvlJc w:val="left"/>
      <w:pPr>
        <w:ind w:left="6480" w:hanging="360"/>
      </w:pPr>
      <w:rPr>
        <w:rFonts w:ascii="Symbol" w:hAnsi="Symbol" w:hint="default"/>
      </w:rPr>
    </w:lvl>
    <w:lvl w:ilvl="7" w:tplc="04190003">
      <w:start w:val="1"/>
      <w:numFmt w:val="bullet"/>
      <w:lvlText w:val="o"/>
      <w:lvlJc w:val="left"/>
      <w:pPr>
        <w:ind w:left="7200" w:hanging="360"/>
      </w:pPr>
      <w:rPr>
        <w:rFonts w:ascii="Courier New" w:hAnsi="Courier New" w:hint="default"/>
      </w:rPr>
    </w:lvl>
    <w:lvl w:ilvl="8" w:tplc="04190005">
      <w:start w:val="1"/>
      <w:numFmt w:val="bullet"/>
      <w:lvlText w:val=""/>
      <w:lvlJc w:val="left"/>
      <w:pPr>
        <w:ind w:left="7920" w:hanging="360"/>
      </w:pPr>
      <w:rPr>
        <w:rFonts w:ascii="Wingdings" w:hAnsi="Wingdings" w:hint="default"/>
      </w:rPr>
    </w:lvl>
  </w:abstractNum>
  <w:abstractNum w:abstractNumId="17">
    <w:nsid w:val="4A526FB1"/>
    <w:multiLevelType w:val="hybridMultilevel"/>
    <w:tmpl w:val="31B69C8C"/>
    <w:lvl w:ilvl="0" w:tplc="289C603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B3C6E89"/>
    <w:multiLevelType w:val="hybridMultilevel"/>
    <w:tmpl w:val="144AAB9C"/>
    <w:lvl w:ilvl="0" w:tplc="557AC3E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nsid w:val="4C4E1BF6"/>
    <w:multiLevelType w:val="hybridMultilevel"/>
    <w:tmpl w:val="179C0428"/>
    <w:lvl w:ilvl="0" w:tplc="20C0DA6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4CBD33E0"/>
    <w:multiLevelType w:val="hybridMultilevel"/>
    <w:tmpl w:val="B6D81F8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1">
    <w:nsid w:val="4CE37278"/>
    <w:multiLevelType w:val="hybridMultilevel"/>
    <w:tmpl w:val="8C68015C"/>
    <w:lvl w:ilvl="0" w:tplc="04190001">
      <w:start w:val="1"/>
      <w:numFmt w:val="bullet"/>
      <w:lvlText w:val=""/>
      <w:lvlJc w:val="left"/>
      <w:pPr>
        <w:ind w:left="293" w:hanging="360"/>
      </w:pPr>
      <w:rPr>
        <w:rFonts w:ascii="Symbol" w:hAnsi="Symbol" w:hint="default"/>
      </w:rPr>
    </w:lvl>
    <w:lvl w:ilvl="1" w:tplc="04190003" w:tentative="1">
      <w:start w:val="1"/>
      <w:numFmt w:val="bullet"/>
      <w:lvlText w:val="o"/>
      <w:lvlJc w:val="left"/>
      <w:pPr>
        <w:ind w:left="1013" w:hanging="360"/>
      </w:pPr>
      <w:rPr>
        <w:rFonts w:ascii="Courier New" w:hAnsi="Courier New" w:hint="default"/>
      </w:rPr>
    </w:lvl>
    <w:lvl w:ilvl="2" w:tplc="04190005" w:tentative="1">
      <w:start w:val="1"/>
      <w:numFmt w:val="bullet"/>
      <w:lvlText w:val=""/>
      <w:lvlJc w:val="left"/>
      <w:pPr>
        <w:ind w:left="1733" w:hanging="360"/>
      </w:pPr>
      <w:rPr>
        <w:rFonts w:ascii="Wingdings" w:hAnsi="Wingdings" w:hint="default"/>
      </w:rPr>
    </w:lvl>
    <w:lvl w:ilvl="3" w:tplc="04190001" w:tentative="1">
      <w:start w:val="1"/>
      <w:numFmt w:val="bullet"/>
      <w:lvlText w:val=""/>
      <w:lvlJc w:val="left"/>
      <w:pPr>
        <w:ind w:left="2453" w:hanging="360"/>
      </w:pPr>
      <w:rPr>
        <w:rFonts w:ascii="Symbol" w:hAnsi="Symbol" w:hint="default"/>
      </w:rPr>
    </w:lvl>
    <w:lvl w:ilvl="4" w:tplc="04190003" w:tentative="1">
      <w:start w:val="1"/>
      <w:numFmt w:val="bullet"/>
      <w:lvlText w:val="o"/>
      <w:lvlJc w:val="left"/>
      <w:pPr>
        <w:ind w:left="3173" w:hanging="360"/>
      </w:pPr>
      <w:rPr>
        <w:rFonts w:ascii="Courier New" w:hAnsi="Courier New" w:hint="default"/>
      </w:rPr>
    </w:lvl>
    <w:lvl w:ilvl="5" w:tplc="04190005" w:tentative="1">
      <w:start w:val="1"/>
      <w:numFmt w:val="bullet"/>
      <w:lvlText w:val=""/>
      <w:lvlJc w:val="left"/>
      <w:pPr>
        <w:ind w:left="3893" w:hanging="360"/>
      </w:pPr>
      <w:rPr>
        <w:rFonts w:ascii="Wingdings" w:hAnsi="Wingdings" w:hint="default"/>
      </w:rPr>
    </w:lvl>
    <w:lvl w:ilvl="6" w:tplc="04190001" w:tentative="1">
      <w:start w:val="1"/>
      <w:numFmt w:val="bullet"/>
      <w:lvlText w:val=""/>
      <w:lvlJc w:val="left"/>
      <w:pPr>
        <w:ind w:left="4613" w:hanging="360"/>
      </w:pPr>
      <w:rPr>
        <w:rFonts w:ascii="Symbol" w:hAnsi="Symbol" w:hint="default"/>
      </w:rPr>
    </w:lvl>
    <w:lvl w:ilvl="7" w:tplc="04190003" w:tentative="1">
      <w:start w:val="1"/>
      <w:numFmt w:val="bullet"/>
      <w:lvlText w:val="o"/>
      <w:lvlJc w:val="left"/>
      <w:pPr>
        <w:ind w:left="5333" w:hanging="360"/>
      </w:pPr>
      <w:rPr>
        <w:rFonts w:ascii="Courier New" w:hAnsi="Courier New" w:hint="default"/>
      </w:rPr>
    </w:lvl>
    <w:lvl w:ilvl="8" w:tplc="04190005" w:tentative="1">
      <w:start w:val="1"/>
      <w:numFmt w:val="bullet"/>
      <w:lvlText w:val=""/>
      <w:lvlJc w:val="left"/>
      <w:pPr>
        <w:ind w:left="6053" w:hanging="360"/>
      </w:pPr>
      <w:rPr>
        <w:rFonts w:ascii="Wingdings" w:hAnsi="Wingdings" w:hint="default"/>
      </w:rPr>
    </w:lvl>
  </w:abstractNum>
  <w:abstractNum w:abstractNumId="22">
    <w:nsid w:val="502268B6"/>
    <w:multiLevelType w:val="hybridMultilevel"/>
    <w:tmpl w:val="BABAE3C0"/>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3">
    <w:nsid w:val="53827726"/>
    <w:multiLevelType w:val="hybridMultilevel"/>
    <w:tmpl w:val="C812FA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57603F76"/>
    <w:multiLevelType w:val="hybridMultilevel"/>
    <w:tmpl w:val="4A1EB718"/>
    <w:lvl w:ilvl="0" w:tplc="04A696F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5">
    <w:nsid w:val="5A0705A9"/>
    <w:multiLevelType w:val="hybridMultilevel"/>
    <w:tmpl w:val="90AC9A0A"/>
    <w:lvl w:ilvl="0" w:tplc="EA6481C2">
      <w:start w:val="1"/>
      <w:numFmt w:val="bullet"/>
      <w:lvlText w:val=""/>
      <w:lvlJc w:val="left"/>
      <w:pPr>
        <w:ind w:left="1500" w:hanging="360"/>
      </w:pPr>
      <w:rPr>
        <w:rFonts w:ascii="Symbol" w:hAnsi="Symbol" w:hint="default"/>
        <w:b w:val="0"/>
        <w:i w:val="0"/>
        <w:sz w:val="20"/>
      </w:rPr>
    </w:lvl>
    <w:lvl w:ilvl="1" w:tplc="04190003">
      <w:start w:val="1"/>
      <w:numFmt w:val="bullet"/>
      <w:lvlText w:val="o"/>
      <w:lvlJc w:val="left"/>
      <w:pPr>
        <w:ind w:left="2220" w:hanging="360"/>
      </w:pPr>
      <w:rPr>
        <w:rFonts w:ascii="Courier New" w:hAnsi="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hint="default"/>
      </w:rPr>
    </w:lvl>
    <w:lvl w:ilvl="8" w:tplc="04190005">
      <w:start w:val="1"/>
      <w:numFmt w:val="bullet"/>
      <w:lvlText w:val=""/>
      <w:lvlJc w:val="left"/>
      <w:pPr>
        <w:ind w:left="7260" w:hanging="360"/>
      </w:pPr>
      <w:rPr>
        <w:rFonts w:ascii="Wingdings" w:hAnsi="Wingdings" w:hint="default"/>
      </w:rPr>
    </w:lvl>
  </w:abstractNum>
  <w:abstractNum w:abstractNumId="26">
    <w:nsid w:val="5E21560A"/>
    <w:multiLevelType w:val="hybridMultilevel"/>
    <w:tmpl w:val="EA02D50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nsid w:val="63B448B8"/>
    <w:multiLevelType w:val="hybridMultilevel"/>
    <w:tmpl w:val="5436170A"/>
    <w:lvl w:ilvl="0" w:tplc="DF9E54F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678655F3"/>
    <w:multiLevelType w:val="hybridMultilevel"/>
    <w:tmpl w:val="7D64F418"/>
    <w:lvl w:ilvl="0" w:tplc="DE087AEE">
      <w:start w:val="1"/>
      <w:numFmt w:val="decimal"/>
      <w:lvlText w:val="%1."/>
      <w:lvlJc w:val="left"/>
      <w:pPr>
        <w:ind w:left="10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7C0E7EE6"/>
    <w:multiLevelType w:val="hybridMultilevel"/>
    <w:tmpl w:val="C9F2D7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2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2"/>
  </w:num>
  <w:num w:numId="5">
    <w:abstractNumId w:val="29"/>
  </w:num>
  <w:num w:numId="6">
    <w:abstractNumId w:val="7"/>
  </w:num>
  <w:num w:numId="7">
    <w:abstractNumId w:val="22"/>
  </w:num>
  <w:num w:numId="8">
    <w:abstractNumId w:val="23"/>
  </w:num>
  <w:num w:numId="9">
    <w:abstractNumId w:val="18"/>
  </w:num>
  <w:num w:numId="10">
    <w:abstractNumId w:val="3"/>
  </w:num>
  <w:num w:numId="11">
    <w:abstractNumId w:val="24"/>
  </w:num>
  <w:num w:numId="12">
    <w:abstractNumId w:val="16"/>
  </w:num>
  <w:num w:numId="13">
    <w:abstractNumId w:val="26"/>
  </w:num>
  <w:num w:numId="14">
    <w:abstractNumId w:val="17"/>
  </w:num>
  <w:num w:numId="15">
    <w:abstractNumId w:val="14"/>
  </w:num>
  <w:num w:numId="16">
    <w:abstractNumId w:val="6"/>
  </w:num>
  <w:num w:numId="17">
    <w:abstractNumId w:val="13"/>
  </w:num>
  <w:num w:numId="18">
    <w:abstractNumId w:val="1"/>
  </w:num>
  <w:num w:numId="19">
    <w:abstractNumId w:val="21"/>
  </w:num>
  <w:num w:numId="20">
    <w:abstractNumId w:val="3"/>
  </w:num>
  <w:num w:numId="21">
    <w:abstractNumId w:val="2"/>
  </w:num>
  <w:num w:numId="22">
    <w:abstractNumId w:val="29"/>
  </w:num>
  <w:num w:numId="23">
    <w:abstractNumId w:val="23"/>
  </w:num>
  <w:num w:numId="24">
    <w:abstractNumId w:val="26"/>
  </w:num>
  <w:num w:numId="25">
    <w:abstractNumId w:val="9"/>
  </w:num>
  <w:num w:numId="26">
    <w:abstractNumId w:val="12"/>
  </w:num>
  <w:num w:numId="27">
    <w:abstractNumId w:val="0"/>
  </w:num>
  <w:num w:numId="28">
    <w:abstractNumId w:val="20"/>
  </w:num>
  <w:num w:numId="29">
    <w:abstractNumId w:val="8"/>
  </w:num>
  <w:num w:numId="30">
    <w:abstractNumId w:val="27"/>
  </w:num>
  <w:num w:numId="31">
    <w:abstractNumId w:val="4"/>
  </w:num>
  <w:num w:numId="32">
    <w:abstractNumId w:val="19"/>
  </w:num>
  <w:num w:numId="33">
    <w:abstractNumId w:val="11"/>
  </w:num>
  <w:num w:numId="34">
    <w:abstractNumId w:val="10"/>
  </w:num>
  <w:num w:numId="35">
    <w:abstractNumId w:val="5"/>
  </w:num>
  <w:num w:numId="36">
    <w:abstractNumId w:val="28"/>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1802"/>
    <w:rsid w:val="000004CB"/>
    <w:rsid w:val="00002547"/>
    <w:rsid w:val="00003891"/>
    <w:rsid w:val="000059B8"/>
    <w:rsid w:val="00005FC2"/>
    <w:rsid w:val="0000684F"/>
    <w:rsid w:val="00007218"/>
    <w:rsid w:val="00010270"/>
    <w:rsid w:val="00010294"/>
    <w:rsid w:val="0001062A"/>
    <w:rsid w:val="00010F70"/>
    <w:rsid w:val="00012C7E"/>
    <w:rsid w:val="00015DE9"/>
    <w:rsid w:val="00015EB1"/>
    <w:rsid w:val="000160F2"/>
    <w:rsid w:val="00016ECD"/>
    <w:rsid w:val="00020FB9"/>
    <w:rsid w:val="000223DB"/>
    <w:rsid w:val="00022805"/>
    <w:rsid w:val="00022D9D"/>
    <w:rsid w:val="00023538"/>
    <w:rsid w:val="00024E6C"/>
    <w:rsid w:val="000251B6"/>
    <w:rsid w:val="00025CC3"/>
    <w:rsid w:val="00027366"/>
    <w:rsid w:val="000324C4"/>
    <w:rsid w:val="00034A2A"/>
    <w:rsid w:val="0004078B"/>
    <w:rsid w:val="000407AB"/>
    <w:rsid w:val="000459C6"/>
    <w:rsid w:val="000477F9"/>
    <w:rsid w:val="00047F33"/>
    <w:rsid w:val="000528C2"/>
    <w:rsid w:val="00053B5A"/>
    <w:rsid w:val="00053BF0"/>
    <w:rsid w:val="0005434A"/>
    <w:rsid w:val="00057023"/>
    <w:rsid w:val="00062343"/>
    <w:rsid w:val="000635F8"/>
    <w:rsid w:val="00064116"/>
    <w:rsid w:val="0006463E"/>
    <w:rsid w:val="00067088"/>
    <w:rsid w:val="00071ED6"/>
    <w:rsid w:val="00075BD0"/>
    <w:rsid w:val="00075F21"/>
    <w:rsid w:val="000764D1"/>
    <w:rsid w:val="00080A55"/>
    <w:rsid w:val="00082AD9"/>
    <w:rsid w:val="00082B6B"/>
    <w:rsid w:val="00083622"/>
    <w:rsid w:val="00084513"/>
    <w:rsid w:val="00084E4F"/>
    <w:rsid w:val="00086181"/>
    <w:rsid w:val="00087509"/>
    <w:rsid w:val="00087658"/>
    <w:rsid w:val="0009036A"/>
    <w:rsid w:val="000922BD"/>
    <w:rsid w:val="00092E35"/>
    <w:rsid w:val="000941D8"/>
    <w:rsid w:val="00095426"/>
    <w:rsid w:val="00095605"/>
    <w:rsid w:val="000968D6"/>
    <w:rsid w:val="00097B29"/>
    <w:rsid w:val="000A17A8"/>
    <w:rsid w:val="000A2B5B"/>
    <w:rsid w:val="000A4048"/>
    <w:rsid w:val="000A4130"/>
    <w:rsid w:val="000A684F"/>
    <w:rsid w:val="000B3845"/>
    <w:rsid w:val="000B41B7"/>
    <w:rsid w:val="000C0372"/>
    <w:rsid w:val="000C21B8"/>
    <w:rsid w:val="000C25F7"/>
    <w:rsid w:val="000C262C"/>
    <w:rsid w:val="000C3853"/>
    <w:rsid w:val="000C4B32"/>
    <w:rsid w:val="000C4BD0"/>
    <w:rsid w:val="000D02CE"/>
    <w:rsid w:val="000D039B"/>
    <w:rsid w:val="000D27B2"/>
    <w:rsid w:val="000D3E47"/>
    <w:rsid w:val="000D5ABC"/>
    <w:rsid w:val="000D70C0"/>
    <w:rsid w:val="000D777D"/>
    <w:rsid w:val="000D7E89"/>
    <w:rsid w:val="000D7FE9"/>
    <w:rsid w:val="000E0129"/>
    <w:rsid w:val="000E1037"/>
    <w:rsid w:val="000E2629"/>
    <w:rsid w:val="000E2D1A"/>
    <w:rsid w:val="000E2EFD"/>
    <w:rsid w:val="000E4CF6"/>
    <w:rsid w:val="000E51CA"/>
    <w:rsid w:val="000E6269"/>
    <w:rsid w:val="000F023A"/>
    <w:rsid w:val="000F1F22"/>
    <w:rsid w:val="000F4491"/>
    <w:rsid w:val="000F4E5E"/>
    <w:rsid w:val="000F5A1C"/>
    <w:rsid w:val="000F5B2C"/>
    <w:rsid w:val="000F5F58"/>
    <w:rsid w:val="000F6B1F"/>
    <w:rsid w:val="000F75A3"/>
    <w:rsid w:val="0010081D"/>
    <w:rsid w:val="001033D2"/>
    <w:rsid w:val="00103438"/>
    <w:rsid w:val="0010369C"/>
    <w:rsid w:val="001046FA"/>
    <w:rsid w:val="00106097"/>
    <w:rsid w:val="00106566"/>
    <w:rsid w:val="00107BE9"/>
    <w:rsid w:val="0011001A"/>
    <w:rsid w:val="00112ABA"/>
    <w:rsid w:val="00113001"/>
    <w:rsid w:val="0011528F"/>
    <w:rsid w:val="00115EB8"/>
    <w:rsid w:val="00122000"/>
    <w:rsid w:val="001245D9"/>
    <w:rsid w:val="00124CF0"/>
    <w:rsid w:val="0012582D"/>
    <w:rsid w:val="00132456"/>
    <w:rsid w:val="00132A40"/>
    <w:rsid w:val="00132A78"/>
    <w:rsid w:val="00133980"/>
    <w:rsid w:val="00133FB9"/>
    <w:rsid w:val="00134D4E"/>
    <w:rsid w:val="001357C3"/>
    <w:rsid w:val="00135FEB"/>
    <w:rsid w:val="00136E31"/>
    <w:rsid w:val="0014053D"/>
    <w:rsid w:val="001446B3"/>
    <w:rsid w:val="001449FE"/>
    <w:rsid w:val="001456CD"/>
    <w:rsid w:val="001537E1"/>
    <w:rsid w:val="0015598E"/>
    <w:rsid w:val="00157C95"/>
    <w:rsid w:val="00160D86"/>
    <w:rsid w:val="0016209B"/>
    <w:rsid w:val="00167392"/>
    <w:rsid w:val="001718C4"/>
    <w:rsid w:val="00171B13"/>
    <w:rsid w:val="00173550"/>
    <w:rsid w:val="00173689"/>
    <w:rsid w:val="0018077B"/>
    <w:rsid w:val="00182619"/>
    <w:rsid w:val="001835AE"/>
    <w:rsid w:val="00183CC5"/>
    <w:rsid w:val="00184B3B"/>
    <w:rsid w:val="001850BF"/>
    <w:rsid w:val="00185673"/>
    <w:rsid w:val="00186602"/>
    <w:rsid w:val="00186DD8"/>
    <w:rsid w:val="00187331"/>
    <w:rsid w:val="001916A0"/>
    <w:rsid w:val="001922FA"/>
    <w:rsid w:val="00192385"/>
    <w:rsid w:val="00194D14"/>
    <w:rsid w:val="001967D4"/>
    <w:rsid w:val="001A2587"/>
    <w:rsid w:val="001A3B76"/>
    <w:rsid w:val="001A5D23"/>
    <w:rsid w:val="001A6C59"/>
    <w:rsid w:val="001A6CD9"/>
    <w:rsid w:val="001A6DBE"/>
    <w:rsid w:val="001A7358"/>
    <w:rsid w:val="001B1DDA"/>
    <w:rsid w:val="001B2791"/>
    <w:rsid w:val="001B6416"/>
    <w:rsid w:val="001C0F8D"/>
    <w:rsid w:val="001C1680"/>
    <w:rsid w:val="001C1FE8"/>
    <w:rsid w:val="001C2C8B"/>
    <w:rsid w:val="001C34E9"/>
    <w:rsid w:val="001C4B22"/>
    <w:rsid w:val="001C4CAA"/>
    <w:rsid w:val="001C6E05"/>
    <w:rsid w:val="001C7117"/>
    <w:rsid w:val="001D28D8"/>
    <w:rsid w:val="001D35C8"/>
    <w:rsid w:val="001D482C"/>
    <w:rsid w:val="001D7293"/>
    <w:rsid w:val="001E13D9"/>
    <w:rsid w:val="001E2F5B"/>
    <w:rsid w:val="001E4BE3"/>
    <w:rsid w:val="001E52AC"/>
    <w:rsid w:val="001E6A03"/>
    <w:rsid w:val="001F283F"/>
    <w:rsid w:val="001F4CCB"/>
    <w:rsid w:val="001F62A4"/>
    <w:rsid w:val="001F6F48"/>
    <w:rsid w:val="001F7D54"/>
    <w:rsid w:val="002007B3"/>
    <w:rsid w:val="00201770"/>
    <w:rsid w:val="002053A1"/>
    <w:rsid w:val="002108EF"/>
    <w:rsid w:val="00211D92"/>
    <w:rsid w:val="00213C46"/>
    <w:rsid w:val="00214BAD"/>
    <w:rsid w:val="00215290"/>
    <w:rsid w:val="00215E77"/>
    <w:rsid w:val="00216D0E"/>
    <w:rsid w:val="00221EA5"/>
    <w:rsid w:val="00222AA6"/>
    <w:rsid w:val="00223145"/>
    <w:rsid w:val="002248C4"/>
    <w:rsid w:val="00227817"/>
    <w:rsid w:val="00227EA6"/>
    <w:rsid w:val="002309BE"/>
    <w:rsid w:val="002322B7"/>
    <w:rsid w:val="00233968"/>
    <w:rsid w:val="00234FA5"/>
    <w:rsid w:val="00237AC8"/>
    <w:rsid w:val="00237D94"/>
    <w:rsid w:val="00240A51"/>
    <w:rsid w:val="00240C6D"/>
    <w:rsid w:val="00242B42"/>
    <w:rsid w:val="0024338C"/>
    <w:rsid w:val="002433A1"/>
    <w:rsid w:val="00243661"/>
    <w:rsid w:val="00250397"/>
    <w:rsid w:val="00251058"/>
    <w:rsid w:val="00251769"/>
    <w:rsid w:val="00252212"/>
    <w:rsid w:val="00252460"/>
    <w:rsid w:val="00253197"/>
    <w:rsid w:val="0025474E"/>
    <w:rsid w:val="0025679C"/>
    <w:rsid w:val="00256A1A"/>
    <w:rsid w:val="00260E07"/>
    <w:rsid w:val="0026229E"/>
    <w:rsid w:val="00263127"/>
    <w:rsid w:val="0026577E"/>
    <w:rsid w:val="00266823"/>
    <w:rsid w:val="00266BBD"/>
    <w:rsid w:val="00275975"/>
    <w:rsid w:val="00277461"/>
    <w:rsid w:val="0028290D"/>
    <w:rsid w:val="00283B4F"/>
    <w:rsid w:val="00285AC6"/>
    <w:rsid w:val="00286035"/>
    <w:rsid w:val="00286634"/>
    <w:rsid w:val="00291314"/>
    <w:rsid w:val="00295CB2"/>
    <w:rsid w:val="0029601B"/>
    <w:rsid w:val="002A07B9"/>
    <w:rsid w:val="002A144B"/>
    <w:rsid w:val="002A1494"/>
    <w:rsid w:val="002A3184"/>
    <w:rsid w:val="002A358C"/>
    <w:rsid w:val="002A7697"/>
    <w:rsid w:val="002B0146"/>
    <w:rsid w:val="002B06F1"/>
    <w:rsid w:val="002B1FBB"/>
    <w:rsid w:val="002B2672"/>
    <w:rsid w:val="002B2794"/>
    <w:rsid w:val="002B2D17"/>
    <w:rsid w:val="002C0B89"/>
    <w:rsid w:val="002C40F5"/>
    <w:rsid w:val="002C4BE7"/>
    <w:rsid w:val="002C669B"/>
    <w:rsid w:val="002C76C6"/>
    <w:rsid w:val="002D1FEA"/>
    <w:rsid w:val="002D2DCD"/>
    <w:rsid w:val="002D4C14"/>
    <w:rsid w:val="002D4E98"/>
    <w:rsid w:val="002D64F2"/>
    <w:rsid w:val="002D74E2"/>
    <w:rsid w:val="002E16D5"/>
    <w:rsid w:val="002E22A0"/>
    <w:rsid w:val="002E5BF0"/>
    <w:rsid w:val="002E6D99"/>
    <w:rsid w:val="002F14ED"/>
    <w:rsid w:val="002F16D8"/>
    <w:rsid w:val="002F1B94"/>
    <w:rsid w:val="002F35D8"/>
    <w:rsid w:val="002F3863"/>
    <w:rsid w:val="002F3DA7"/>
    <w:rsid w:val="002F4214"/>
    <w:rsid w:val="002F5584"/>
    <w:rsid w:val="002F6D8F"/>
    <w:rsid w:val="002F704B"/>
    <w:rsid w:val="00300676"/>
    <w:rsid w:val="003013F4"/>
    <w:rsid w:val="003020C1"/>
    <w:rsid w:val="00312804"/>
    <w:rsid w:val="00314CC9"/>
    <w:rsid w:val="00317934"/>
    <w:rsid w:val="00320F75"/>
    <w:rsid w:val="003214D5"/>
    <w:rsid w:val="00324BB3"/>
    <w:rsid w:val="00325ECC"/>
    <w:rsid w:val="00326B7F"/>
    <w:rsid w:val="00330DC2"/>
    <w:rsid w:val="0033120C"/>
    <w:rsid w:val="00332621"/>
    <w:rsid w:val="00333A37"/>
    <w:rsid w:val="0033565F"/>
    <w:rsid w:val="00337760"/>
    <w:rsid w:val="00337E91"/>
    <w:rsid w:val="00340C8B"/>
    <w:rsid w:val="00341859"/>
    <w:rsid w:val="003419C5"/>
    <w:rsid w:val="0034208D"/>
    <w:rsid w:val="00342C7C"/>
    <w:rsid w:val="003434FD"/>
    <w:rsid w:val="003450C0"/>
    <w:rsid w:val="003454B1"/>
    <w:rsid w:val="0034662D"/>
    <w:rsid w:val="00346D4E"/>
    <w:rsid w:val="0034790D"/>
    <w:rsid w:val="003510CC"/>
    <w:rsid w:val="00352954"/>
    <w:rsid w:val="0035356C"/>
    <w:rsid w:val="00354548"/>
    <w:rsid w:val="00354993"/>
    <w:rsid w:val="0035744D"/>
    <w:rsid w:val="003602EB"/>
    <w:rsid w:val="0036698F"/>
    <w:rsid w:val="0037158E"/>
    <w:rsid w:val="00372459"/>
    <w:rsid w:val="00372BA6"/>
    <w:rsid w:val="00373F7D"/>
    <w:rsid w:val="00374A19"/>
    <w:rsid w:val="00375A08"/>
    <w:rsid w:val="003807E1"/>
    <w:rsid w:val="00381798"/>
    <w:rsid w:val="0038391B"/>
    <w:rsid w:val="00392195"/>
    <w:rsid w:val="00396918"/>
    <w:rsid w:val="003A2993"/>
    <w:rsid w:val="003A2C87"/>
    <w:rsid w:val="003A32F3"/>
    <w:rsid w:val="003A376B"/>
    <w:rsid w:val="003A4A7C"/>
    <w:rsid w:val="003A4CF4"/>
    <w:rsid w:val="003A779F"/>
    <w:rsid w:val="003B2763"/>
    <w:rsid w:val="003B39D3"/>
    <w:rsid w:val="003B69FC"/>
    <w:rsid w:val="003B7BDD"/>
    <w:rsid w:val="003B7F2C"/>
    <w:rsid w:val="003C0DEF"/>
    <w:rsid w:val="003C5729"/>
    <w:rsid w:val="003C680E"/>
    <w:rsid w:val="003C700B"/>
    <w:rsid w:val="003C7591"/>
    <w:rsid w:val="003D017C"/>
    <w:rsid w:val="003D3656"/>
    <w:rsid w:val="003D372C"/>
    <w:rsid w:val="003D38A7"/>
    <w:rsid w:val="003D467F"/>
    <w:rsid w:val="003D585A"/>
    <w:rsid w:val="003D6071"/>
    <w:rsid w:val="003D74F3"/>
    <w:rsid w:val="003E03BC"/>
    <w:rsid w:val="003E7481"/>
    <w:rsid w:val="003E7907"/>
    <w:rsid w:val="003E7CA7"/>
    <w:rsid w:val="003F0B55"/>
    <w:rsid w:val="003F0DF4"/>
    <w:rsid w:val="003F4DF2"/>
    <w:rsid w:val="003F4EF0"/>
    <w:rsid w:val="003F564D"/>
    <w:rsid w:val="00401210"/>
    <w:rsid w:val="00401989"/>
    <w:rsid w:val="00401D83"/>
    <w:rsid w:val="0040422A"/>
    <w:rsid w:val="00404470"/>
    <w:rsid w:val="0040606D"/>
    <w:rsid w:val="00410E7E"/>
    <w:rsid w:val="0041139B"/>
    <w:rsid w:val="00413545"/>
    <w:rsid w:val="004138E2"/>
    <w:rsid w:val="00413F7D"/>
    <w:rsid w:val="004152C4"/>
    <w:rsid w:val="004154DA"/>
    <w:rsid w:val="00415C64"/>
    <w:rsid w:val="00417A11"/>
    <w:rsid w:val="00417BEA"/>
    <w:rsid w:val="00420444"/>
    <w:rsid w:val="004220D1"/>
    <w:rsid w:val="00424EB6"/>
    <w:rsid w:val="00426B1C"/>
    <w:rsid w:val="0042716F"/>
    <w:rsid w:val="004276C1"/>
    <w:rsid w:val="004323E7"/>
    <w:rsid w:val="004348FA"/>
    <w:rsid w:val="00437A99"/>
    <w:rsid w:val="00440CDD"/>
    <w:rsid w:val="00442924"/>
    <w:rsid w:val="00444858"/>
    <w:rsid w:val="0044737E"/>
    <w:rsid w:val="0044793D"/>
    <w:rsid w:val="00450418"/>
    <w:rsid w:val="0045066F"/>
    <w:rsid w:val="00450DCB"/>
    <w:rsid w:val="00450E1E"/>
    <w:rsid w:val="004522E7"/>
    <w:rsid w:val="004523AA"/>
    <w:rsid w:val="0045345E"/>
    <w:rsid w:val="004555A1"/>
    <w:rsid w:val="00455766"/>
    <w:rsid w:val="004557F9"/>
    <w:rsid w:val="00455C07"/>
    <w:rsid w:val="004561FD"/>
    <w:rsid w:val="004574E1"/>
    <w:rsid w:val="004575E3"/>
    <w:rsid w:val="0046046E"/>
    <w:rsid w:val="0046099F"/>
    <w:rsid w:val="004632B7"/>
    <w:rsid w:val="0047080C"/>
    <w:rsid w:val="004731FA"/>
    <w:rsid w:val="00477B46"/>
    <w:rsid w:val="00484AD2"/>
    <w:rsid w:val="004850C5"/>
    <w:rsid w:val="00487395"/>
    <w:rsid w:val="00487C81"/>
    <w:rsid w:val="00490B73"/>
    <w:rsid w:val="00492E3B"/>
    <w:rsid w:val="0049559E"/>
    <w:rsid w:val="00495AAD"/>
    <w:rsid w:val="004A47DC"/>
    <w:rsid w:val="004A596F"/>
    <w:rsid w:val="004A5C75"/>
    <w:rsid w:val="004A7162"/>
    <w:rsid w:val="004B3107"/>
    <w:rsid w:val="004B3771"/>
    <w:rsid w:val="004B3A8F"/>
    <w:rsid w:val="004B6928"/>
    <w:rsid w:val="004B78EB"/>
    <w:rsid w:val="004C01CA"/>
    <w:rsid w:val="004C27A2"/>
    <w:rsid w:val="004C33A3"/>
    <w:rsid w:val="004C57F9"/>
    <w:rsid w:val="004C61B7"/>
    <w:rsid w:val="004C632D"/>
    <w:rsid w:val="004C7DFA"/>
    <w:rsid w:val="004D2B3A"/>
    <w:rsid w:val="004D34AB"/>
    <w:rsid w:val="004D398E"/>
    <w:rsid w:val="004D5A3F"/>
    <w:rsid w:val="004D64BC"/>
    <w:rsid w:val="004D68FF"/>
    <w:rsid w:val="004D737F"/>
    <w:rsid w:val="004E0029"/>
    <w:rsid w:val="004E1E9C"/>
    <w:rsid w:val="004E3A08"/>
    <w:rsid w:val="004E5579"/>
    <w:rsid w:val="004E5A4C"/>
    <w:rsid w:val="004E5DF7"/>
    <w:rsid w:val="004F2094"/>
    <w:rsid w:val="004F2705"/>
    <w:rsid w:val="004F42A6"/>
    <w:rsid w:val="004F5330"/>
    <w:rsid w:val="004F563F"/>
    <w:rsid w:val="004F5A75"/>
    <w:rsid w:val="004F7353"/>
    <w:rsid w:val="005009CC"/>
    <w:rsid w:val="0050364C"/>
    <w:rsid w:val="00507E41"/>
    <w:rsid w:val="00511C81"/>
    <w:rsid w:val="00511E0A"/>
    <w:rsid w:val="00515584"/>
    <w:rsid w:val="00517364"/>
    <w:rsid w:val="0052042D"/>
    <w:rsid w:val="0052206C"/>
    <w:rsid w:val="005220F1"/>
    <w:rsid w:val="00526C34"/>
    <w:rsid w:val="005274D0"/>
    <w:rsid w:val="00531513"/>
    <w:rsid w:val="00531635"/>
    <w:rsid w:val="0053526C"/>
    <w:rsid w:val="0053532F"/>
    <w:rsid w:val="00537000"/>
    <w:rsid w:val="0054577A"/>
    <w:rsid w:val="00545BFB"/>
    <w:rsid w:val="00547BB9"/>
    <w:rsid w:val="00553513"/>
    <w:rsid w:val="00553E39"/>
    <w:rsid w:val="0056154A"/>
    <w:rsid w:val="00561A01"/>
    <w:rsid w:val="0056306D"/>
    <w:rsid w:val="0056345B"/>
    <w:rsid w:val="005644EE"/>
    <w:rsid w:val="0056483A"/>
    <w:rsid w:val="00565AED"/>
    <w:rsid w:val="005701CE"/>
    <w:rsid w:val="0057153C"/>
    <w:rsid w:val="00571682"/>
    <w:rsid w:val="005728FC"/>
    <w:rsid w:val="00573084"/>
    <w:rsid w:val="0057321B"/>
    <w:rsid w:val="005738B8"/>
    <w:rsid w:val="00574DEC"/>
    <w:rsid w:val="00574FB2"/>
    <w:rsid w:val="0057584E"/>
    <w:rsid w:val="00576174"/>
    <w:rsid w:val="005767C8"/>
    <w:rsid w:val="0058048F"/>
    <w:rsid w:val="00582CFB"/>
    <w:rsid w:val="0058472D"/>
    <w:rsid w:val="00584982"/>
    <w:rsid w:val="00584DDA"/>
    <w:rsid w:val="00584EE5"/>
    <w:rsid w:val="00585DEE"/>
    <w:rsid w:val="00586058"/>
    <w:rsid w:val="005863AE"/>
    <w:rsid w:val="00593EDF"/>
    <w:rsid w:val="00593F1C"/>
    <w:rsid w:val="00594030"/>
    <w:rsid w:val="00595221"/>
    <w:rsid w:val="0059636F"/>
    <w:rsid w:val="005977F7"/>
    <w:rsid w:val="005A060F"/>
    <w:rsid w:val="005A0CB9"/>
    <w:rsid w:val="005A0D7C"/>
    <w:rsid w:val="005A629D"/>
    <w:rsid w:val="005A6AE1"/>
    <w:rsid w:val="005B0D72"/>
    <w:rsid w:val="005B13F1"/>
    <w:rsid w:val="005B2A09"/>
    <w:rsid w:val="005B3CFC"/>
    <w:rsid w:val="005B55C1"/>
    <w:rsid w:val="005C0A7E"/>
    <w:rsid w:val="005C182D"/>
    <w:rsid w:val="005C5AA3"/>
    <w:rsid w:val="005D0A95"/>
    <w:rsid w:val="005D0F08"/>
    <w:rsid w:val="005D5957"/>
    <w:rsid w:val="005D6DB6"/>
    <w:rsid w:val="005D77B6"/>
    <w:rsid w:val="005E1379"/>
    <w:rsid w:val="005E2215"/>
    <w:rsid w:val="005E333E"/>
    <w:rsid w:val="005E561D"/>
    <w:rsid w:val="005E6F08"/>
    <w:rsid w:val="005E7B42"/>
    <w:rsid w:val="005E7F35"/>
    <w:rsid w:val="005F0EA4"/>
    <w:rsid w:val="005F19E7"/>
    <w:rsid w:val="005F3C96"/>
    <w:rsid w:val="005F4646"/>
    <w:rsid w:val="005F4D87"/>
    <w:rsid w:val="005F6550"/>
    <w:rsid w:val="005F78D0"/>
    <w:rsid w:val="005F7F96"/>
    <w:rsid w:val="00600CAF"/>
    <w:rsid w:val="00602A8B"/>
    <w:rsid w:val="00604414"/>
    <w:rsid w:val="00605F2E"/>
    <w:rsid w:val="00607CDB"/>
    <w:rsid w:val="006103F3"/>
    <w:rsid w:val="00610FD7"/>
    <w:rsid w:val="00612049"/>
    <w:rsid w:val="00612372"/>
    <w:rsid w:val="00612708"/>
    <w:rsid w:val="006132A1"/>
    <w:rsid w:val="00613309"/>
    <w:rsid w:val="00613BCE"/>
    <w:rsid w:val="006143F3"/>
    <w:rsid w:val="0061644C"/>
    <w:rsid w:val="00617454"/>
    <w:rsid w:val="0061766C"/>
    <w:rsid w:val="0062310A"/>
    <w:rsid w:val="00623803"/>
    <w:rsid w:val="006256C8"/>
    <w:rsid w:val="00626EEA"/>
    <w:rsid w:val="00626FEF"/>
    <w:rsid w:val="00630A8A"/>
    <w:rsid w:val="00632E2F"/>
    <w:rsid w:val="00636294"/>
    <w:rsid w:val="0063660B"/>
    <w:rsid w:val="0063744B"/>
    <w:rsid w:val="006379CB"/>
    <w:rsid w:val="00646C6F"/>
    <w:rsid w:val="006508B7"/>
    <w:rsid w:val="0065713E"/>
    <w:rsid w:val="006572BA"/>
    <w:rsid w:val="006625CC"/>
    <w:rsid w:val="006656B9"/>
    <w:rsid w:val="00670898"/>
    <w:rsid w:val="006723EF"/>
    <w:rsid w:val="00676EF3"/>
    <w:rsid w:val="00682196"/>
    <w:rsid w:val="00685E1D"/>
    <w:rsid w:val="0068621A"/>
    <w:rsid w:val="00692925"/>
    <w:rsid w:val="006942A5"/>
    <w:rsid w:val="00694CB7"/>
    <w:rsid w:val="0069523A"/>
    <w:rsid w:val="006972BC"/>
    <w:rsid w:val="00697873"/>
    <w:rsid w:val="006979F7"/>
    <w:rsid w:val="006A1A96"/>
    <w:rsid w:val="006A413D"/>
    <w:rsid w:val="006A64DB"/>
    <w:rsid w:val="006A6DE8"/>
    <w:rsid w:val="006B12EA"/>
    <w:rsid w:val="006B3320"/>
    <w:rsid w:val="006B3D6B"/>
    <w:rsid w:val="006B57E4"/>
    <w:rsid w:val="006B5F8A"/>
    <w:rsid w:val="006C09DE"/>
    <w:rsid w:val="006C1B33"/>
    <w:rsid w:val="006D05C1"/>
    <w:rsid w:val="006D413D"/>
    <w:rsid w:val="006D71FF"/>
    <w:rsid w:val="006E32F7"/>
    <w:rsid w:val="006E3469"/>
    <w:rsid w:val="006E48DB"/>
    <w:rsid w:val="006E4AD5"/>
    <w:rsid w:val="006E6958"/>
    <w:rsid w:val="006F1369"/>
    <w:rsid w:val="006F2924"/>
    <w:rsid w:val="006F2A87"/>
    <w:rsid w:val="006F6CC2"/>
    <w:rsid w:val="006F7CC2"/>
    <w:rsid w:val="00700F76"/>
    <w:rsid w:val="0070307B"/>
    <w:rsid w:val="00704963"/>
    <w:rsid w:val="0070524D"/>
    <w:rsid w:val="007066CC"/>
    <w:rsid w:val="007121D5"/>
    <w:rsid w:val="00713426"/>
    <w:rsid w:val="00713515"/>
    <w:rsid w:val="007150DD"/>
    <w:rsid w:val="00715813"/>
    <w:rsid w:val="0071609F"/>
    <w:rsid w:val="00721372"/>
    <w:rsid w:val="0072160C"/>
    <w:rsid w:val="00721C08"/>
    <w:rsid w:val="007220AF"/>
    <w:rsid w:val="00725950"/>
    <w:rsid w:val="00727444"/>
    <w:rsid w:val="00727EAC"/>
    <w:rsid w:val="00730AD2"/>
    <w:rsid w:val="00731918"/>
    <w:rsid w:val="00731CE8"/>
    <w:rsid w:val="007329C0"/>
    <w:rsid w:val="00733EC7"/>
    <w:rsid w:val="00735A0E"/>
    <w:rsid w:val="00742B42"/>
    <w:rsid w:val="00742C84"/>
    <w:rsid w:val="0074431D"/>
    <w:rsid w:val="00745141"/>
    <w:rsid w:val="00745857"/>
    <w:rsid w:val="00747F81"/>
    <w:rsid w:val="00750145"/>
    <w:rsid w:val="00750ECE"/>
    <w:rsid w:val="00753C75"/>
    <w:rsid w:val="00766183"/>
    <w:rsid w:val="00767A26"/>
    <w:rsid w:val="00770D0B"/>
    <w:rsid w:val="00770E43"/>
    <w:rsid w:val="00771CCC"/>
    <w:rsid w:val="00774465"/>
    <w:rsid w:val="00774BF7"/>
    <w:rsid w:val="00777B89"/>
    <w:rsid w:val="00783AA3"/>
    <w:rsid w:val="007903AC"/>
    <w:rsid w:val="00793521"/>
    <w:rsid w:val="00794E2A"/>
    <w:rsid w:val="0079553F"/>
    <w:rsid w:val="007A27B8"/>
    <w:rsid w:val="007A366C"/>
    <w:rsid w:val="007A6930"/>
    <w:rsid w:val="007B0FBE"/>
    <w:rsid w:val="007B2AE9"/>
    <w:rsid w:val="007B38D3"/>
    <w:rsid w:val="007B46AE"/>
    <w:rsid w:val="007B71BA"/>
    <w:rsid w:val="007C293B"/>
    <w:rsid w:val="007C2D61"/>
    <w:rsid w:val="007C4E38"/>
    <w:rsid w:val="007D76DC"/>
    <w:rsid w:val="007D77BA"/>
    <w:rsid w:val="007E26C3"/>
    <w:rsid w:val="007E2D09"/>
    <w:rsid w:val="007E2DA0"/>
    <w:rsid w:val="007E43BF"/>
    <w:rsid w:val="007F1B4D"/>
    <w:rsid w:val="007F3256"/>
    <w:rsid w:val="007F4702"/>
    <w:rsid w:val="0080131F"/>
    <w:rsid w:val="008040E8"/>
    <w:rsid w:val="00807580"/>
    <w:rsid w:val="00815BC1"/>
    <w:rsid w:val="0081778D"/>
    <w:rsid w:val="00823884"/>
    <w:rsid w:val="00823C33"/>
    <w:rsid w:val="00826203"/>
    <w:rsid w:val="00832433"/>
    <w:rsid w:val="00833C35"/>
    <w:rsid w:val="00834CAE"/>
    <w:rsid w:val="008350A6"/>
    <w:rsid w:val="00835AF3"/>
    <w:rsid w:val="00843A09"/>
    <w:rsid w:val="00845F36"/>
    <w:rsid w:val="008479F8"/>
    <w:rsid w:val="00854428"/>
    <w:rsid w:val="00855A94"/>
    <w:rsid w:val="00855EE1"/>
    <w:rsid w:val="008562CA"/>
    <w:rsid w:val="0086443E"/>
    <w:rsid w:val="008648CA"/>
    <w:rsid w:val="008652D4"/>
    <w:rsid w:val="008655B3"/>
    <w:rsid w:val="00870118"/>
    <w:rsid w:val="0087328A"/>
    <w:rsid w:val="00874B9F"/>
    <w:rsid w:val="00874F1B"/>
    <w:rsid w:val="00875053"/>
    <w:rsid w:val="008750CE"/>
    <w:rsid w:val="0087568F"/>
    <w:rsid w:val="00876407"/>
    <w:rsid w:val="00876970"/>
    <w:rsid w:val="00876AF6"/>
    <w:rsid w:val="00877487"/>
    <w:rsid w:val="00881161"/>
    <w:rsid w:val="008864CB"/>
    <w:rsid w:val="008872B6"/>
    <w:rsid w:val="0089028D"/>
    <w:rsid w:val="00890D25"/>
    <w:rsid w:val="00890FFC"/>
    <w:rsid w:val="008925F2"/>
    <w:rsid w:val="0089340D"/>
    <w:rsid w:val="00893C87"/>
    <w:rsid w:val="008A00A2"/>
    <w:rsid w:val="008A02DE"/>
    <w:rsid w:val="008A0715"/>
    <w:rsid w:val="008A175F"/>
    <w:rsid w:val="008A1D4A"/>
    <w:rsid w:val="008A24A8"/>
    <w:rsid w:val="008A2AAF"/>
    <w:rsid w:val="008A2D9A"/>
    <w:rsid w:val="008A7169"/>
    <w:rsid w:val="008A765C"/>
    <w:rsid w:val="008B05A6"/>
    <w:rsid w:val="008B3CAE"/>
    <w:rsid w:val="008B5A66"/>
    <w:rsid w:val="008B64D9"/>
    <w:rsid w:val="008B6F73"/>
    <w:rsid w:val="008C0192"/>
    <w:rsid w:val="008C0F54"/>
    <w:rsid w:val="008C1205"/>
    <w:rsid w:val="008C1D08"/>
    <w:rsid w:val="008C320C"/>
    <w:rsid w:val="008C3F10"/>
    <w:rsid w:val="008C53E2"/>
    <w:rsid w:val="008C54EF"/>
    <w:rsid w:val="008C5C14"/>
    <w:rsid w:val="008C5C92"/>
    <w:rsid w:val="008C7876"/>
    <w:rsid w:val="008D0215"/>
    <w:rsid w:val="008D1514"/>
    <w:rsid w:val="008D29BA"/>
    <w:rsid w:val="008D3720"/>
    <w:rsid w:val="008D3DF0"/>
    <w:rsid w:val="008D47BD"/>
    <w:rsid w:val="008D5F7C"/>
    <w:rsid w:val="008D64B8"/>
    <w:rsid w:val="008D6FA5"/>
    <w:rsid w:val="008E0DA6"/>
    <w:rsid w:val="008E48B0"/>
    <w:rsid w:val="008E6549"/>
    <w:rsid w:val="008F01E2"/>
    <w:rsid w:val="008F0898"/>
    <w:rsid w:val="008F0DC5"/>
    <w:rsid w:val="008F33D1"/>
    <w:rsid w:val="008F57B5"/>
    <w:rsid w:val="008F5A6E"/>
    <w:rsid w:val="008F7EE0"/>
    <w:rsid w:val="0090415D"/>
    <w:rsid w:val="009052FA"/>
    <w:rsid w:val="0090609D"/>
    <w:rsid w:val="009107BC"/>
    <w:rsid w:val="009127C7"/>
    <w:rsid w:val="0091296C"/>
    <w:rsid w:val="00912B2F"/>
    <w:rsid w:val="00914280"/>
    <w:rsid w:val="009149E5"/>
    <w:rsid w:val="00915527"/>
    <w:rsid w:val="00915718"/>
    <w:rsid w:val="00921418"/>
    <w:rsid w:val="009217F2"/>
    <w:rsid w:val="00927BAE"/>
    <w:rsid w:val="009324DE"/>
    <w:rsid w:val="00937548"/>
    <w:rsid w:val="00940AAD"/>
    <w:rsid w:val="0094268D"/>
    <w:rsid w:val="0094732B"/>
    <w:rsid w:val="009479DA"/>
    <w:rsid w:val="00950110"/>
    <w:rsid w:val="0096090C"/>
    <w:rsid w:val="009624E2"/>
    <w:rsid w:val="009634A8"/>
    <w:rsid w:val="00967518"/>
    <w:rsid w:val="009675CC"/>
    <w:rsid w:val="00967E05"/>
    <w:rsid w:val="0097326C"/>
    <w:rsid w:val="0097332D"/>
    <w:rsid w:val="0097499C"/>
    <w:rsid w:val="00974EF6"/>
    <w:rsid w:val="00976CF8"/>
    <w:rsid w:val="00980A5F"/>
    <w:rsid w:val="00980E63"/>
    <w:rsid w:val="00981244"/>
    <w:rsid w:val="0098174D"/>
    <w:rsid w:val="00981911"/>
    <w:rsid w:val="009827EA"/>
    <w:rsid w:val="00982A91"/>
    <w:rsid w:val="009835B2"/>
    <w:rsid w:val="009840CB"/>
    <w:rsid w:val="009868A7"/>
    <w:rsid w:val="00987776"/>
    <w:rsid w:val="009904A3"/>
    <w:rsid w:val="0099175C"/>
    <w:rsid w:val="0099198A"/>
    <w:rsid w:val="0099280D"/>
    <w:rsid w:val="00992C23"/>
    <w:rsid w:val="00994377"/>
    <w:rsid w:val="009965C9"/>
    <w:rsid w:val="009A0556"/>
    <w:rsid w:val="009A24E1"/>
    <w:rsid w:val="009A2F30"/>
    <w:rsid w:val="009A4E67"/>
    <w:rsid w:val="009A52C4"/>
    <w:rsid w:val="009A6BB7"/>
    <w:rsid w:val="009B061D"/>
    <w:rsid w:val="009B082E"/>
    <w:rsid w:val="009B20AF"/>
    <w:rsid w:val="009B523E"/>
    <w:rsid w:val="009C12B1"/>
    <w:rsid w:val="009C25F2"/>
    <w:rsid w:val="009C2ED0"/>
    <w:rsid w:val="009C59AA"/>
    <w:rsid w:val="009D0A1B"/>
    <w:rsid w:val="009D37CE"/>
    <w:rsid w:val="009D3804"/>
    <w:rsid w:val="009D5E68"/>
    <w:rsid w:val="009D66CB"/>
    <w:rsid w:val="009D68B4"/>
    <w:rsid w:val="009E21EC"/>
    <w:rsid w:val="009E366A"/>
    <w:rsid w:val="009E3744"/>
    <w:rsid w:val="009E5F73"/>
    <w:rsid w:val="009E6D1A"/>
    <w:rsid w:val="009E7CC1"/>
    <w:rsid w:val="009F0BBD"/>
    <w:rsid w:val="009F3182"/>
    <w:rsid w:val="009F63BD"/>
    <w:rsid w:val="00A00428"/>
    <w:rsid w:val="00A01572"/>
    <w:rsid w:val="00A01996"/>
    <w:rsid w:val="00A034C8"/>
    <w:rsid w:val="00A035F1"/>
    <w:rsid w:val="00A04FC8"/>
    <w:rsid w:val="00A067C3"/>
    <w:rsid w:val="00A075E4"/>
    <w:rsid w:val="00A10D2B"/>
    <w:rsid w:val="00A12C22"/>
    <w:rsid w:val="00A14082"/>
    <w:rsid w:val="00A141B6"/>
    <w:rsid w:val="00A14241"/>
    <w:rsid w:val="00A15634"/>
    <w:rsid w:val="00A161D3"/>
    <w:rsid w:val="00A16263"/>
    <w:rsid w:val="00A17E2C"/>
    <w:rsid w:val="00A17E95"/>
    <w:rsid w:val="00A215CB"/>
    <w:rsid w:val="00A21CD0"/>
    <w:rsid w:val="00A245C4"/>
    <w:rsid w:val="00A2583D"/>
    <w:rsid w:val="00A306DC"/>
    <w:rsid w:val="00A30931"/>
    <w:rsid w:val="00A31441"/>
    <w:rsid w:val="00A31BB5"/>
    <w:rsid w:val="00A31DDD"/>
    <w:rsid w:val="00A33329"/>
    <w:rsid w:val="00A36C29"/>
    <w:rsid w:val="00A37A75"/>
    <w:rsid w:val="00A4399A"/>
    <w:rsid w:val="00A45965"/>
    <w:rsid w:val="00A46BA6"/>
    <w:rsid w:val="00A5005A"/>
    <w:rsid w:val="00A5082F"/>
    <w:rsid w:val="00A508EB"/>
    <w:rsid w:val="00A51AAA"/>
    <w:rsid w:val="00A5219A"/>
    <w:rsid w:val="00A53A0B"/>
    <w:rsid w:val="00A553C8"/>
    <w:rsid w:val="00A55591"/>
    <w:rsid w:val="00A5577F"/>
    <w:rsid w:val="00A56A63"/>
    <w:rsid w:val="00A57DAF"/>
    <w:rsid w:val="00A6171C"/>
    <w:rsid w:val="00A62E64"/>
    <w:rsid w:val="00A630E9"/>
    <w:rsid w:val="00A6361B"/>
    <w:rsid w:val="00A6377F"/>
    <w:rsid w:val="00A673A5"/>
    <w:rsid w:val="00A67F24"/>
    <w:rsid w:val="00A712D8"/>
    <w:rsid w:val="00A718B1"/>
    <w:rsid w:val="00A73BD5"/>
    <w:rsid w:val="00A76F08"/>
    <w:rsid w:val="00A81179"/>
    <w:rsid w:val="00A85F7C"/>
    <w:rsid w:val="00A91400"/>
    <w:rsid w:val="00A93B63"/>
    <w:rsid w:val="00A9526F"/>
    <w:rsid w:val="00A9587A"/>
    <w:rsid w:val="00AA0E04"/>
    <w:rsid w:val="00AA2176"/>
    <w:rsid w:val="00AA3553"/>
    <w:rsid w:val="00AA57F0"/>
    <w:rsid w:val="00AB0B28"/>
    <w:rsid w:val="00AB54C1"/>
    <w:rsid w:val="00AB6BFD"/>
    <w:rsid w:val="00AC2E20"/>
    <w:rsid w:val="00AC3546"/>
    <w:rsid w:val="00AC4B7A"/>
    <w:rsid w:val="00AC5D28"/>
    <w:rsid w:val="00AC6F48"/>
    <w:rsid w:val="00AD015A"/>
    <w:rsid w:val="00AD24F9"/>
    <w:rsid w:val="00AD2E6F"/>
    <w:rsid w:val="00AD30DF"/>
    <w:rsid w:val="00AD313B"/>
    <w:rsid w:val="00AD3499"/>
    <w:rsid w:val="00AD4598"/>
    <w:rsid w:val="00AD5C24"/>
    <w:rsid w:val="00AD5E6B"/>
    <w:rsid w:val="00AD65AF"/>
    <w:rsid w:val="00AD7CA5"/>
    <w:rsid w:val="00AD7DA8"/>
    <w:rsid w:val="00AE0E33"/>
    <w:rsid w:val="00AE211E"/>
    <w:rsid w:val="00AE4A80"/>
    <w:rsid w:val="00AE65E5"/>
    <w:rsid w:val="00AE738A"/>
    <w:rsid w:val="00AF0A6F"/>
    <w:rsid w:val="00AF0F34"/>
    <w:rsid w:val="00AF35B8"/>
    <w:rsid w:val="00AF6CDC"/>
    <w:rsid w:val="00B01037"/>
    <w:rsid w:val="00B01227"/>
    <w:rsid w:val="00B02154"/>
    <w:rsid w:val="00B0264A"/>
    <w:rsid w:val="00B05BE8"/>
    <w:rsid w:val="00B06727"/>
    <w:rsid w:val="00B07EB4"/>
    <w:rsid w:val="00B10BC4"/>
    <w:rsid w:val="00B12B4E"/>
    <w:rsid w:val="00B135D0"/>
    <w:rsid w:val="00B13EE2"/>
    <w:rsid w:val="00B1433A"/>
    <w:rsid w:val="00B16CC0"/>
    <w:rsid w:val="00B17871"/>
    <w:rsid w:val="00B17D5B"/>
    <w:rsid w:val="00B21D2D"/>
    <w:rsid w:val="00B221D4"/>
    <w:rsid w:val="00B2225A"/>
    <w:rsid w:val="00B225BD"/>
    <w:rsid w:val="00B22D70"/>
    <w:rsid w:val="00B23A72"/>
    <w:rsid w:val="00B261C4"/>
    <w:rsid w:val="00B31C2F"/>
    <w:rsid w:val="00B32172"/>
    <w:rsid w:val="00B326B3"/>
    <w:rsid w:val="00B32BC9"/>
    <w:rsid w:val="00B33409"/>
    <w:rsid w:val="00B3601C"/>
    <w:rsid w:val="00B3693B"/>
    <w:rsid w:val="00B41264"/>
    <w:rsid w:val="00B424B2"/>
    <w:rsid w:val="00B4391C"/>
    <w:rsid w:val="00B4668D"/>
    <w:rsid w:val="00B51572"/>
    <w:rsid w:val="00B5347C"/>
    <w:rsid w:val="00B547EC"/>
    <w:rsid w:val="00B5525C"/>
    <w:rsid w:val="00B56EF4"/>
    <w:rsid w:val="00B643B1"/>
    <w:rsid w:val="00B67262"/>
    <w:rsid w:val="00B67DC1"/>
    <w:rsid w:val="00B71792"/>
    <w:rsid w:val="00B71C09"/>
    <w:rsid w:val="00B741B9"/>
    <w:rsid w:val="00B74D36"/>
    <w:rsid w:val="00B751DD"/>
    <w:rsid w:val="00B75FCC"/>
    <w:rsid w:val="00B76F75"/>
    <w:rsid w:val="00B77131"/>
    <w:rsid w:val="00B806A7"/>
    <w:rsid w:val="00B81184"/>
    <w:rsid w:val="00B84E30"/>
    <w:rsid w:val="00B86F4A"/>
    <w:rsid w:val="00B87A2E"/>
    <w:rsid w:val="00B90827"/>
    <w:rsid w:val="00B90E2A"/>
    <w:rsid w:val="00B914AE"/>
    <w:rsid w:val="00B919EE"/>
    <w:rsid w:val="00B936BB"/>
    <w:rsid w:val="00B96ECD"/>
    <w:rsid w:val="00B978BA"/>
    <w:rsid w:val="00BA0E4B"/>
    <w:rsid w:val="00BA0E67"/>
    <w:rsid w:val="00BA16DF"/>
    <w:rsid w:val="00BA2293"/>
    <w:rsid w:val="00BA29C6"/>
    <w:rsid w:val="00BA7A3E"/>
    <w:rsid w:val="00BB15B5"/>
    <w:rsid w:val="00BB3E37"/>
    <w:rsid w:val="00BB4C6E"/>
    <w:rsid w:val="00BB6BE5"/>
    <w:rsid w:val="00BC083C"/>
    <w:rsid w:val="00BC1169"/>
    <w:rsid w:val="00BC1E78"/>
    <w:rsid w:val="00BC21B9"/>
    <w:rsid w:val="00BC2292"/>
    <w:rsid w:val="00BC281E"/>
    <w:rsid w:val="00BC4294"/>
    <w:rsid w:val="00BC467A"/>
    <w:rsid w:val="00BC6FEA"/>
    <w:rsid w:val="00BD143B"/>
    <w:rsid w:val="00BD23DD"/>
    <w:rsid w:val="00BD2B88"/>
    <w:rsid w:val="00BD3BC6"/>
    <w:rsid w:val="00BD43FB"/>
    <w:rsid w:val="00BD4945"/>
    <w:rsid w:val="00BD4C99"/>
    <w:rsid w:val="00BD4D53"/>
    <w:rsid w:val="00BD603D"/>
    <w:rsid w:val="00BD7A3F"/>
    <w:rsid w:val="00BD7CD3"/>
    <w:rsid w:val="00BD7EA2"/>
    <w:rsid w:val="00BE0463"/>
    <w:rsid w:val="00BE38D4"/>
    <w:rsid w:val="00BE4853"/>
    <w:rsid w:val="00BE6CEB"/>
    <w:rsid w:val="00BF67F3"/>
    <w:rsid w:val="00C005EC"/>
    <w:rsid w:val="00C00FBC"/>
    <w:rsid w:val="00C015BF"/>
    <w:rsid w:val="00C0237D"/>
    <w:rsid w:val="00C04C08"/>
    <w:rsid w:val="00C05BC4"/>
    <w:rsid w:val="00C064EA"/>
    <w:rsid w:val="00C06544"/>
    <w:rsid w:val="00C10E0B"/>
    <w:rsid w:val="00C114A3"/>
    <w:rsid w:val="00C1284B"/>
    <w:rsid w:val="00C12B53"/>
    <w:rsid w:val="00C1321F"/>
    <w:rsid w:val="00C15F4F"/>
    <w:rsid w:val="00C203F0"/>
    <w:rsid w:val="00C20F30"/>
    <w:rsid w:val="00C20F48"/>
    <w:rsid w:val="00C22888"/>
    <w:rsid w:val="00C2407D"/>
    <w:rsid w:val="00C2444F"/>
    <w:rsid w:val="00C259A2"/>
    <w:rsid w:val="00C32062"/>
    <w:rsid w:val="00C354FB"/>
    <w:rsid w:val="00C35862"/>
    <w:rsid w:val="00C35951"/>
    <w:rsid w:val="00C37404"/>
    <w:rsid w:val="00C420C3"/>
    <w:rsid w:val="00C425F1"/>
    <w:rsid w:val="00C436FE"/>
    <w:rsid w:val="00C43C41"/>
    <w:rsid w:val="00C449AC"/>
    <w:rsid w:val="00C44A91"/>
    <w:rsid w:val="00C51141"/>
    <w:rsid w:val="00C52942"/>
    <w:rsid w:val="00C52FBC"/>
    <w:rsid w:val="00C55AE9"/>
    <w:rsid w:val="00C55ED1"/>
    <w:rsid w:val="00C560E2"/>
    <w:rsid w:val="00C63546"/>
    <w:rsid w:val="00C67066"/>
    <w:rsid w:val="00C70A47"/>
    <w:rsid w:val="00C735C5"/>
    <w:rsid w:val="00C755C6"/>
    <w:rsid w:val="00C75A5F"/>
    <w:rsid w:val="00C77613"/>
    <w:rsid w:val="00C77823"/>
    <w:rsid w:val="00C823F6"/>
    <w:rsid w:val="00C8286D"/>
    <w:rsid w:val="00C82AFC"/>
    <w:rsid w:val="00C82E64"/>
    <w:rsid w:val="00C85745"/>
    <w:rsid w:val="00C92F99"/>
    <w:rsid w:val="00C94E71"/>
    <w:rsid w:val="00C950A7"/>
    <w:rsid w:val="00C97740"/>
    <w:rsid w:val="00CA0203"/>
    <w:rsid w:val="00CA735F"/>
    <w:rsid w:val="00CA7548"/>
    <w:rsid w:val="00CB70DB"/>
    <w:rsid w:val="00CC075F"/>
    <w:rsid w:val="00CC0978"/>
    <w:rsid w:val="00CC31B5"/>
    <w:rsid w:val="00CC322D"/>
    <w:rsid w:val="00CC3316"/>
    <w:rsid w:val="00CC35B1"/>
    <w:rsid w:val="00CC551F"/>
    <w:rsid w:val="00CC5DFA"/>
    <w:rsid w:val="00CC615F"/>
    <w:rsid w:val="00CD0331"/>
    <w:rsid w:val="00CD56E0"/>
    <w:rsid w:val="00CD75A7"/>
    <w:rsid w:val="00CD7949"/>
    <w:rsid w:val="00CE04F1"/>
    <w:rsid w:val="00CE0E49"/>
    <w:rsid w:val="00CE2907"/>
    <w:rsid w:val="00CE5A98"/>
    <w:rsid w:val="00CE7F32"/>
    <w:rsid w:val="00CF358F"/>
    <w:rsid w:val="00CF58EB"/>
    <w:rsid w:val="00CF5A00"/>
    <w:rsid w:val="00D01BA2"/>
    <w:rsid w:val="00D02232"/>
    <w:rsid w:val="00D0248A"/>
    <w:rsid w:val="00D030DA"/>
    <w:rsid w:val="00D03B88"/>
    <w:rsid w:val="00D055B0"/>
    <w:rsid w:val="00D07A68"/>
    <w:rsid w:val="00D1003A"/>
    <w:rsid w:val="00D1043D"/>
    <w:rsid w:val="00D11802"/>
    <w:rsid w:val="00D11E12"/>
    <w:rsid w:val="00D15662"/>
    <w:rsid w:val="00D1584D"/>
    <w:rsid w:val="00D15972"/>
    <w:rsid w:val="00D15BA7"/>
    <w:rsid w:val="00D15F50"/>
    <w:rsid w:val="00D203D6"/>
    <w:rsid w:val="00D20BC5"/>
    <w:rsid w:val="00D22105"/>
    <w:rsid w:val="00D27695"/>
    <w:rsid w:val="00D30533"/>
    <w:rsid w:val="00D31CD4"/>
    <w:rsid w:val="00D33140"/>
    <w:rsid w:val="00D33D41"/>
    <w:rsid w:val="00D41D40"/>
    <w:rsid w:val="00D425B3"/>
    <w:rsid w:val="00D42B82"/>
    <w:rsid w:val="00D42CE7"/>
    <w:rsid w:val="00D4314F"/>
    <w:rsid w:val="00D431E6"/>
    <w:rsid w:val="00D445B6"/>
    <w:rsid w:val="00D452BC"/>
    <w:rsid w:val="00D45633"/>
    <w:rsid w:val="00D456EB"/>
    <w:rsid w:val="00D47B6B"/>
    <w:rsid w:val="00D509ED"/>
    <w:rsid w:val="00D51715"/>
    <w:rsid w:val="00D51D6A"/>
    <w:rsid w:val="00D54AEA"/>
    <w:rsid w:val="00D56A20"/>
    <w:rsid w:val="00D630A3"/>
    <w:rsid w:val="00D63870"/>
    <w:rsid w:val="00D64CCD"/>
    <w:rsid w:val="00D65DD3"/>
    <w:rsid w:val="00D65E5C"/>
    <w:rsid w:val="00D665A3"/>
    <w:rsid w:val="00D67194"/>
    <w:rsid w:val="00D67EA7"/>
    <w:rsid w:val="00D71F43"/>
    <w:rsid w:val="00D73AE5"/>
    <w:rsid w:val="00D75C21"/>
    <w:rsid w:val="00D75DF2"/>
    <w:rsid w:val="00D841B5"/>
    <w:rsid w:val="00D845AA"/>
    <w:rsid w:val="00D855D3"/>
    <w:rsid w:val="00D86676"/>
    <w:rsid w:val="00D902D1"/>
    <w:rsid w:val="00D90ECF"/>
    <w:rsid w:val="00D93B44"/>
    <w:rsid w:val="00D93C06"/>
    <w:rsid w:val="00D94012"/>
    <w:rsid w:val="00D941D8"/>
    <w:rsid w:val="00D94EBD"/>
    <w:rsid w:val="00D97711"/>
    <w:rsid w:val="00D97A3B"/>
    <w:rsid w:val="00D97A78"/>
    <w:rsid w:val="00D97DAD"/>
    <w:rsid w:val="00DA2885"/>
    <w:rsid w:val="00DA2AFD"/>
    <w:rsid w:val="00DA5020"/>
    <w:rsid w:val="00DA5535"/>
    <w:rsid w:val="00DA7A1C"/>
    <w:rsid w:val="00DB23F2"/>
    <w:rsid w:val="00DB2691"/>
    <w:rsid w:val="00DB3DBC"/>
    <w:rsid w:val="00DB78D6"/>
    <w:rsid w:val="00DB7F8D"/>
    <w:rsid w:val="00DC0A25"/>
    <w:rsid w:val="00DC42BB"/>
    <w:rsid w:val="00DC4AF0"/>
    <w:rsid w:val="00DC5135"/>
    <w:rsid w:val="00DC62AE"/>
    <w:rsid w:val="00DC6CE3"/>
    <w:rsid w:val="00DD02B3"/>
    <w:rsid w:val="00DD0A8E"/>
    <w:rsid w:val="00DD24A1"/>
    <w:rsid w:val="00DD2718"/>
    <w:rsid w:val="00DD424D"/>
    <w:rsid w:val="00DD602E"/>
    <w:rsid w:val="00DD7711"/>
    <w:rsid w:val="00DE114E"/>
    <w:rsid w:val="00DE61EA"/>
    <w:rsid w:val="00DE69C5"/>
    <w:rsid w:val="00DE7200"/>
    <w:rsid w:val="00DE74A9"/>
    <w:rsid w:val="00DF0591"/>
    <w:rsid w:val="00DF23DA"/>
    <w:rsid w:val="00DF5237"/>
    <w:rsid w:val="00DF5AEA"/>
    <w:rsid w:val="00DF6990"/>
    <w:rsid w:val="00DF7087"/>
    <w:rsid w:val="00E00507"/>
    <w:rsid w:val="00E0412E"/>
    <w:rsid w:val="00E04DFC"/>
    <w:rsid w:val="00E06E5D"/>
    <w:rsid w:val="00E07E17"/>
    <w:rsid w:val="00E12C78"/>
    <w:rsid w:val="00E13941"/>
    <w:rsid w:val="00E140B3"/>
    <w:rsid w:val="00E15913"/>
    <w:rsid w:val="00E21A6A"/>
    <w:rsid w:val="00E24561"/>
    <w:rsid w:val="00E2566D"/>
    <w:rsid w:val="00E30FE8"/>
    <w:rsid w:val="00E313BD"/>
    <w:rsid w:val="00E33645"/>
    <w:rsid w:val="00E410E8"/>
    <w:rsid w:val="00E42954"/>
    <w:rsid w:val="00E44E35"/>
    <w:rsid w:val="00E469E3"/>
    <w:rsid w:val="00E47CF4"/>
    <w:rsid w:val="00E57C48"/>
    <w:rsid w:val="00E63BF3"/>
    <w:rsid w:val="00E63CA2"/>
    <w:rsid w:val="00E6420C"/>
    <w:rsid w:val="00E6493E"/>
    <w:rsid w:val="00E6542C"/>
    <w:rsid w:val="00E702DB"/>
    <w:rsid w:val="00E70BA9"/>
    <w:rsid w:val="00E72B95"/>
    <w:rsid w:val="00E731F7"/>
    <w:rsid w:val="00E74B66"/>
    <w:rsid w:val="00E76E5C"/>
    <w:rsid w:val="00E77839"/>
    <w:rsid w:val="00E77E14"/>
    <w:rsid w:val="00E82BBA"/>
    <w:rsid w:val="00E85D00"/>
    <w:rsid w:val="00E878AB"/>
    <w:rsid w:val="00E87CE4"/>
    <w:rsid w:val="00E904CF"/>
    <w:rsid w:val="00E93DE9"/>
    <w:rsid w:val="00E955D8"/>
    <w:rsid w:val="00E9633A"/>
    <w:rsid w:val="00EA26AC"/>
    <w:rsid w:val="00EA2F86"/>
    <w:rsid w:val="00EA5A36"/>
    <w:rsid w:val="00EA6D55"/>
    <w:rsid w:val="00EA73FE"/>
    <w:rsid w:val="00EA7FCF"/>
    <w:rsid w:val="00EB0FA0"/>
    <w:rsid w:val="00EB15DA"/>
    <w:rsid w:val="00EB17FE"/>
    <w:rsid w:val="00EB3628"/>
    <w:rsid w:val="00EB447A"/>
    <w:rsid w:val="00EB4F12"/>
    <w:rsid w:val="00EC03A7"/>
    <w:rsid w:val="00EC095E"/>
    <w:rsid w:val="00EC41C5"/>
    <w:rsid w:val="00EC49CB"/>
    <w:rsid w:val="00EC6A6D"/>
    <w:rsid w:val="00ED0343"/>
    <w:rsid w:val="00ED0470"/>
    <w:rsid w:val="00ED07EA"/>
    <w:rsid w:val="00ED0F5C"/>
    <w:rsid w:val="00ED24B8"/>
    <w:rsid w:val="00ED3838"/>
    <w:rsid w:val="00ED6B12"/>
    <w:rsid w:val="00EE0C7C"/>
    <w:rsid w:val="00EE1C8D"/>
    <w:rsid w:val="00EE21CD"/>
    <w:rsid w:val="00EE29BC"/>
    <w:rsid w:val="00EE57F5"/>
    <w:rsid w:val="00EE5BCC"/>
    <w:rsid w:val="00EE784E"/>
    <w:rsid w:val="00EF4904"/>
    <w:rsid w:val="00EF52DA"/>
    <w:rsid w:val="00EF5CB6"/>
    <w:rsid w:val="00EF600D"/>
    <w:rsid w:val="00EF6B2B"/>
    <w:rsid w:val="00EF757C"/>
    <w:rsid w:val="00EF7A8F"/>
    <w:rsid w:val="00F008FC"/>
    <w:rsid w:val="00F01FBD"/>
    <w:rsid w:val="00F0257D"/>
    <w:rsid w:val="00F028FB"/>
    <w:rsid w:val="00F10967"/>
    <w:rsid w:val="00F10D49"/>
    <w:rsid w:val="00F1191E"/>
    <w:rsid w:val="00F12313"/>
    <w:rsid w:val="00F15CA9"/>
    <w:rsid w:val="00F15D01"/>
    <w:rsid w:val="00F168B5"/>
    <w:rsid w:val="00F16E3B"/>
    <w:rsid w:val="00F228A8"/>
    <w:rsid w:val="00F2553B"/>
    <w:rsid w:val="00F26EE5"/>
    <w:rsid w:val="00F2793D"/>
    <w:rsid w:val="00F30B98"/>
    <w:rsid w:val="00F31AB3"/>
    <w:rsid w:val="00F320F3"/>
    <w:rsid w:val="00F32DE5"/>
    <w:rsid w:val="00F33083"/>
    <w:rsid w:val="00F37BB8"/>
    <w:rsid w:val="00F40D76"/>
    <w:rsid w:val="00F4494C"/>
    <w:rsid w:val="00F44CD4"/>
    <w:rsid w:val="00F45711"/>
    <w:rsid w:val="00F45C0C"/>
    <w:rsid w:val="00F45F46"/>
    <w:rsid w:val="00F51B4B"/>
    <w:rsid w:val="00F55CE8"/>
    <w:rsid w:val="00F55F65"/>
    <w:rsid w:val="00F56AB7"/>
    <w:rsid w:val="00F56FF3"/>
    <w:rsid w:val="00F570DE"/>
    <w:rsid w:val="00F61C05"/>
    <w:rsid w:val="00F62615"/>
    <w:rsid w:val="00F62E25"/>
    <w:rsid w:val="00F639A6"/>
    <w:rsid w:val="00F65734"/>
    <w:rsid w:val="00F67EBF"/>
    <w:rsid w:val="00F72B43"/>
    <w:rsid w:val="00F80D86"/>
    <w:rsid w:val="00F8599B"/>
    <w:rsid w:val="00F90A5C"/>
    <w:rsid w:val="00F90D7D"/>
    <w:rsid w:val="00F91B94"/>
    <w:rsid w:val="00F92FD3"/>
    <w:rsid w:val="00F9321A"/>
    <w:rsid w:val="00F93993"/>
    <w:rsid w:val="00F94D10"/>
    <w:rsid w:val="00F94FE2"/>
    <w:rsid w:val="00F959D2"/>
    <w:rsid w:val="00F969F3"/>
    <w:rsid w:val="00FA0800"/>
    <w:rsid w:val="00FA0C6A"/>
    <w:rsid w:val="00FA1F26"/>
    <w:rsid w:val="00FA2AE5"/>
    <w:rsid w:val="00FA569C"/>
    <w:rsid w:val="00FA62E1"/>
    <w:rsid w:val="00FB0487"/>
    <w:rsid w:val="00FB07BF"/>
    <w:rsid w:val="00FB1B6D"/>
    <w:rsid w:val="00FB2781"/>
    <w:rsid w:val="00FB37DB"/>
    <w:rsid w:val="00FB4BFC"/>
    <w:rsid w:val="00FB6093"/>
    <w:rsid w:val="00FB6C2A"/>
    <w:rsid w:val="00FC79D6"/>
    <w:rsid w:val="00FD2BA8"/>
    <w:rsid w:val="00FD36CF"/>
    <w:rsid w:val="00FD44B5"/>
    <w:rsid w:val="00FD65E2"/>
    <w:rsid w:val="00FE0222"/>
    <w:rsid w:val="00FE0786"/>
    <w:rsid w:val="00FE18BD"/>
    <w:rsid w:val="00FE2842"/>
    <w:rsid w:val="00FE3452"/>
    <w:rsid w:val="00FE3F0C"/>
    <w:rsid w:val="00FE4B0A"/>
    <w:rsid w:val="00FE51E9"/>
    <w:rsid w:val="00FE66F3"/>
    <w:rsid w:val="00FE7702"/>
    <w:rsid w:val="00FF49FF"/>
    <w:rsid w:val="00FF5312"/>
    <w:rsid w:val="00FF5660"/>
    <w:rsid w:val="00FF595A"/>
    <w:rsid w:val="00FF68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2" w:uiPriority="0"/>
    <w:lsdException w:name="Body Text 3" w:uiPriority="0"/>
    <w:lsdException w:name="Hyperlink"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182"/>
    <w:pPr>
      <w:spacing w:after="200" w:line="276" w:lineRule="auto"/>
    </w:pPr>
    <w:rPr>
      <w:lang w:eastAsia="en-US"/>
    </w:rPr>
  </w:style>
  <w:style w:type="paragraph" w:styleId="3">
    <w:name w:val="heading 3"/>
    <w:basedOn w:val="a"/>
    <w:next w:val="a"/>
    <w:link w:val="30"/>
    <w:semiHidden/>
    <w:unhideWhenUsed/>
    <w:qFormat/>
    <w:locked/>
    <w:rsid w:val="00BC1169"/>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3182"/>
    <w:pPr>
      <w:widowControl w:val="0"/>
      <w:autoSpaceDE w:val="0"/>
      <w:autoSpaceDN w:val="0"/>
    </w:pPr>
    <w:rPr>
      <w:rFonts w:eastAsia="Times New Roman" w:cs="Calibri"/>
      <w:szCs w:val="20"/>
    </w:rPr>
  </w:style>
  <w:style w:type="paragraph" w:styleId="a3">
    <w:name w:val="List Paragraph"/>
    <w:basedOn w:val="a"/>
    <w:uiPriority w:val="34"/>
    <w:qFormat/>
    <w:rsid w:val="00BA16DF"/>
    <w:pPr>
      <w:ind w:left="720"/>
      <w:contextualSpacing/>
    </w:pPr>
  </w:style>
  <w:style w:type="paragraph" w:styleId="a4">
    <w:name w:val="Balloon Text"/>
    <w:basedOn w:val="a"/>
    <w:link w:val="a5"/>
    <w:semiHidden/>
    <w:rsid w:val="001D28D8"/>
    <w:pPr>
      <w:spacing w:after="0" w:line="240" w:lineRule="auto"/>
    </w:pPr>
    <w:rPr>
      <w:rFonts w:ascii="Tahoma" w:hAnsi="Tahoma"/>
      <w:sz w:val="16"/>
      <w:szCs w:val="16"/>
      <w:lang w:eastAsia="ru-RU"/>
    </w:rPr>
  </w:style>
  <w:style w:type="character" w:customStyle="1" w:styleId="a5">
    <w:name w:val="Текст выноски Знак"/>
    <w:basedOn w:val="a0"/>
    <w:link w:val="a4"/>
    <w:semiHidden/>
    <w:locked/>
    <w:rsid w:val="001D28D8"/>
    <w:rPr>
      <w:rFonts w:ascii="Tahoma" w:hAnsi="Tahoma" w:cs="Times New Roman"/>
      <w:sz w:val="16"/>
    </w:rPr>
  </w:style>
  <w:style w:type="character" w:styleId="a6">
    <w:name w:val="annotation reference"/>
    <w:basedOn w:val="a0"/>
    <w:uiPriority w:val="99"/>
    <w:semiHidden/>
    <w:rsid w:val="00EB15DA"/>
    <w:rPr>
      <w:rFonts w:cs="Times New Roman"/>
      <w:sz w:val="16"/>
    </w:rPr>
  </w:style>
  <w:style w:type="paragraph" w:styleId="a7">
    <w:name w:val="annotation text"/>
    <w:basedOn w:val="a"/>
    <w:link w:val="a8"/>
    <w:uiPriority w:val="99"/>
    <w:semiHidden/>
    <w:rsid w:val="00EB15DA"/>
    <w:pPr>
      <w:spacing w:line="240" w:lineRule="auto"/>
    </w:pPr>
    <w:rPr>
      <w:sz w:val="20"/>
      <w:szCs w:val="20"/>
      <w:lang w:eastAsia="ru-RU"/>
    </w:rPr>
  </w:style>
  <w:style w:type="character" w:customStyle="1" w:styleId="a8">
    <w:name w:val="Текст примечания Знак"/>
    <w:basedOn w:val="a0"/>
    <w:link w:val="a7"/>
    <w:uiPriority w:val="99"/>
    <w:semiHidden/>
    <w:locked/>
    <w:rsid w:val="00EB15DA"/>
    <w:rPr>
      <w:rFonts w:cs="Times New Roman"/>
      <w:sz w:val="20"/>
    </w:rPr>
  </w:style>
  <w:style w:type="paragraph" w:styleId="a9">
    <w:name w:val="annotation subject"/>
    <w:basedOn w:val="a7"/>
    <w:next w:val="a7"/>
    <w:link w:val="aa"/>
    <w:uiPriority w:val="99"/>
    <w:semiHidden/>
    <w:rsid w:val="00EB15DA"/>
    <w:rPr>
      <w:b/>
      <w:bCs/>
    </w:rPr>
  </w:style>
  <w:style w:type="character" w:customStyle="1" w:styleId="aa">
    <w:name w:val="Тема примечания Знак"/>
    <w:basedOn w:val="a8"/>
    <w:link w:val="a9"/>
    <w:uiPriority w:val="99"/>
    <w:semiHidden/>
    <w:locked/>
    <w:rsid w:val="00EB15DA"/>
    <w:rPr>
      <w:rFonts w:cs="Times New Roman"/>
      <w:b/>
      <w:sz w:val="20"/>
    </w:rPr>
  </w:style>
  <w:style w:type="character" w:styleId="ab">
    <w:name w:val="Hyperlink"/>
    <w:basedOn w:val="a0"/>
    <w:rsid w:val="004C33A3"/>
    <w:rPr>
      <w:rFonts w:cs="Times New Roman"/>
      <w:color w:val="0000FF"/>
      <w:u w:val="single"/>
    </w:rPr>
  </w:style>
  <w:style w:type="character" w:styleId="ac">
    <w:name w:val="FollowedHyperlink"/>
    <w:basedOn w:val="a0"/>
    <w:uiPriority w:val="99"/>
    <w:semiHidden/>
    <w:rsid w:val="00D902D1"/>
    <w:rPr>
      <w:rFonts w:cs="Times New Roman"/>
      <w:color w:val="800080"/>
      <w:u w:val="single"/>
    </w:rPr>
  </w:style>
  <w:style w:type="paragraph" w:styleId="ad">
    <w:name w:val="header"/>
    <w:aliases w:val="Знак"/>
    <w:basedOn w:val="a"/>
    <w:link w:val="ae"/>
    <w:rsid w:val="00477B46"/>
    <w:pPr>
      <w:tabs>
        <w:tab w:val="center" w:pos="4677"/>
        <w:tab w:val="right" w:pos="9355"/>
      </w:tabs>
    </w:pPr>
    <w:rPr>
      <w:sz w:val="20"/>
      <w:szCs w:val="20"/>
    </w:rPr>
  </w:style>
  <w:style w:type="character" w:customStyle="1" w:styleId="ae">
    <w:name w:val="Верхний колонтитул Знак"/>
    <w:aliases w:val="Знак Знак"/>
    <w:basedOn w:val="a0"/>
    <w:link w:val="ad"/>
    <w:locked/>
    <w:rsid w:val="00477B46"/>
    <w:rPr>
      <w:rFonts w:cs="Times New Roman"/>
      <w:lang w:eastAsia="en-US"/>
    </w:rPr>
  </w:style>
  <w:style w:type="paragraph" w:styleId="af">
    <w:name w:val="footer"/>
    <w:basedOn w:val="a"/>
    <w:link w:val="af0"/>
    <w:rsid w:val="00477B46"/>
    <w:pPr>
      <w:tabs>
        <w:tab w:val="center" w:pos="4677"/>
        <w:tab w:val="right" w:pos="9355"/>
      </w:tabs>
    </w:pPr>
    <w:rPr>
      <w:sz w:val="20"/>
      <w:szCs w:val="20"/>
    </w:rPr>
  </w:style>
  <w:style w:type="character" w:customStyle="1" w:styleId="af0">
    <w:name w:val="Нижний колонтитул Знак"/>
    <w:basedOn w:val="a0"/>
    <w:link w:val="af"/>
    <w:locked/>
    <w:rsid w:val="00477B46"/>
    <w:rPr>
      <w:rFonts w:cs="Times New Roman"/>
      <w:lang w:eastAsia="en-US"/>
    </w:rPr>
  </w:style>
  <w:style w:type="character" w:customStyle="1" w:styleId="30">
    <w:name w:val="Заголовок 3 Знак"/>
    <w:basedOn w:val="a0"/>
    <w:link w:val="3"/>
    <w:semiHidden/>
    <w:rsid w:val="00BC1169"/>
    <w:rPr>
      <w:rFonts w:asciiTheme="majorHAnsi" w:eastAsiaTheme="majorEastAsia" w:hAnsiTheme="majorHAnsi" w:cstheme="majorBidi"/>
      <w:b/>
      <w:bCs/>
      <w:sz w:val="26"/>
      <w:szCs w:val="26"/>
      <w:lang w:eastAsia="en-US"/>
    </w:rPr>
  </w:style>
  <w:style w:type="numbering" w:customStyle="1" w:styleId="1">
    <w:name w:val="Нет списка1"/>
    <w:next w:val="a2"/>
    <w:semiHidden/>
    <w:unhideWhenUsed/>
    <w:rsid w:val="008040E8"/>
  </w:style>
  <w:style w:type="paragraph" w:styleId="2">
    <w:name w:val="Body Text 2"/>
    <w:basedOn w:val="a"/>
    <w:link w:val="20"/>
    <w:rsid w:val="008040E8"/>
    <w:pPr>
      <w:spacing w:after="0" w:line="240" w:lineRule="auto"/>
      <w:jc w:val="both"/>
    </w:pPr>
    <w:rPr>
      <w:rFonts w:ascii="Times New Roman" w:eastAsia="Times New Roman" w:hAnsi="Times New Roman"/>
      <w:sz w:val="24"/>
      <w:szCs w:val="24"/>
      <w:lang w:eastAsia="ru-RU"/>
    </w:rPr>
  </w:style>
  <w:style w:type="character" w:customStyle="1" w:styleId="20">
    <w:name w:val="Основной текст 2 Знак"/>
    <w:basedOn w:val="a0"/>
    <w:link w:val="2"/>
    <w:rsid w:val="008040E8"/>
    <w:rPr>
      <w:rFonts w:ascii="Times New Roman" w:eastAsia="Times New Roman" w:hAnsi="Times New Roman"/>
      <w:sz w:val="24"/>
      <w:szCs w:val="24"/>
    </w:rPr>
  </w:style>
  <w:style w:type="paragraph" w:styleId="31">
    <w:name w:val="Body Text 3"/>
    <w:basedOn w:val="a"/>
    <w:link w:val="32"/>
    <w:rsid w:val="008040E8"/>
    <w:pPr>
      <w:spacing w:after="0" w:line="240" w:lineRule="auto"/>
      <w:jc w:val="center"/>
    </w:pPr>
    <w:rPr>
      <w:rFonts w:ascii="Times New Roman" w:eastAsia="Times New Roman" w:hAnsi="Times New Roman"/>
      <w:b/>
      <w:bCs/>
      <w:sz w:val="24"/>
      <w:szCs w:val="24"/>
      <w:lang w:eastAsia="ru-RU"/>
    </w:rPr>
  </w:style>
  <w:style w:type="character" w:customStyle="1" w:styleId="32">
    <w:name w:val="Основной текст 3 Знак"/>
    <w:basedOn w:val="a0"/>
    <w:link w:val="31"/>
    <w:rsid w:val="008040E8"/>
    <w:rPr>
      <w:rFonts w:ascii="Times New Roman" w:eastAsia="Times New Roman" w:hAnsi="Times New Roman"/>
      <w:b/>
      <w:bCs/>
      <w:sz w:val="24"/>
      <w:szCs w:val="24"/>
    </w:rPr>
  </w:style>
  <w:style w:type="table" w:styleId="af1">
    <w:name w:val="Table Grid"/>
    <w:basedOn w:val="a1"/>
    <w:locked/>
    <w:rsid w:val="008040E8"/>
    <w:pPr>
      <w:autoSpaceDE w:val="0"/>
      <w:autoSpaceDN w:val="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Цитата1"/>
    <w:basedOn w:val="a"/>
    <w:rsid w:val="008040E8"/>
    <w:pPr>
      <w:tabs>
        <w:tab w:val="left" w:pos="2552"/>
      </w:tabs>
      <w:overflowPunct w:val="0"/>
      <w:adjustRightInd w:val="0"/>
      <w:spacing w:after="0" w:line="240" w:lineRule="auto"/>
      <w:ind w:left="1701" w:right="-369" w:hanging="2694"/>
      <w:jc w:val="both"/>
      <w:textAlignment w:val="baseline"/>
    </w:pPr>
    <w:rPr>
      <w:rFonts w:ascii="Times New Roman" w:eastAsia="Times New Roman" w:hAnsi="Times New Roman"/>
      <w:sz w:val="24"/>
      <w:szCs w:val="20"/>
      <w:lang w:eastAsia="ru-RU"/>
    </w:rPr>
  </w:style>
  <w:style w:type="character" w:customStyle="1" w:styleId="4">
    <w:name w:val="Знак Знак4"/>
    <w:rsid w:val="008040E8"/>
    <w:rPr>
      <w:rFonts w:ascii="Times New Roman" w:eastAsia="Times New Roman" w:hAnsi="Times New Roman" w:cs="Times New Roman"/>
      <w:sz w:val="28"/>
      <w:szCs w:val="28"/>
      <w:lang w:eastAsia="ru-RU"/>
    </w:rPr>
  </w:style>
  <w:style w:type="paragraph" w:customStyle="1" w:styleId="Default">
    <w:name w:val="Default"/>
    <w:rsid w:val="008040E8"/>
    <w:pPr>
      <w:autoSpaceDE w:val="0"/>
      <w:autoSpaceDN w:val="0"/>
      <w:adjustRightInd w:val="0"/>
    </w:pPr>
    <w:rPr>
      <w:rFonts w:eastAsia="Times New Roman" w:cs="Calibri"/>
      <w:color w:val="000000"/>
      <w:sz w:val="24"/>
      <w:szCs w:val="24"/>
    </w:rPr>
  </w:style>
  <w:style w:type="paragraph" w:customStyle="1" w:styleId="Style5">
    <w:name w:val="Style5"/>
    <w:basedOn w:val="a"/>
    <w:uiPriority w:val="99"/>
    <w:rsid w:val="008040E8"/>
    <w:pPr>
      <w:widowControl w:val="0"/>
      <w:adjustRightInd w:val="0"/>
      <w:spacing w:after="0" w:line="372" w:lineRule="exact"/>
      <w:ind w:firstLine="701"/>
      <w:jc w:val="both"/>
    </w:pPr>
    <w:rPr>
      <w:rFonts w:ascii="Times New Roman" w:eastAsia="Times New Roman" w:hAnsi="Times New Roman"/>
      <w:sz w:val="24"/>
      <w:szCs w:val="24"/>
      <w:lang w:eastAsia="ru-RU"/>
    </w:rPr>
  </w:style>
  <w:style w:type="character" w:customStyle="1" w:styleId="FontStyle14">
    <w:name w:val="Font Style14"/>
    <w:uiPriority w:val="99"/>
    <w:rsid w:val="008040E8"/>
    <w:rPr>
      <w:rFonts w:ascii="Times New Roman" w:hAnsi="Times New Roman" w:cs="Times New Roman"/>
      <w:b/>
      <w:bCs/>
      <w:sz w:val="26"/>
      <w:szCs w:val="26"/>
    </w:rPr>
  </w:style>
  <w:style w:type="character" w:customStyle="1" w:styleId="FontStyle15">
    <w:name w:val="Font Style15"/>
    <w:uiPriority w:val="99"/>
    <w:rsid w:val="008040E8"/>
    <w:rPr>
      <w:rFonts w:ascii="Times New Roman" w:hAnsi="Times New Roman" w:cs="Times New Roman"/>
      <w:sz w:val="26"/>
      <w:szCs w:val="26"/>
    </w:rPr>
  </w:style>
  <w:style w:type="paragraph" w:styleId="af2">
    <w:name w:val="Body Text"/>
    <w:basedOn w:val="a"/>
    <w:link w:val="af3"/>
    <w:rsid w:val="008040E8"/>
    <w:pPr>
      <w:spacing w:after="120" w:line="240" w:lineRule="auto"/>
    </w:pPr>
    <w:rPr>
      <w:rFonts w:ascii="Times New Roman" w:eastAsia="Times New Roman" w:hAnsi="Times New Roman"/>
      <w:sz w:val="24"/>
      <w:szCs w:val="24"/>
      <w:lang w:val="x-none" w:eastAsia="x-none"/>
    </w:rPr>
  </w:style>
  <w:style w:type="character" w:customStyle="1" w:styleId="af3">
    <w:name w:val="Основной текст Знак"/>
    <w:basedOn w:val="a0"/>
    <w:link w:val="af2"/>
    <w:rsid w:val="008040E8"/>
    <w:rPr>
      <w:rFonts w:ascii="Times New Roman" w:eastAsia="Times New Roman" w:hAnsi="Times New Roman"/>
      <w:sz w:val="24"/>
      <w:szCs w:val="24"/>
      <w:lang w:val="x-none" w:eastAsia="x-none"/>
    </w:rPr>
  </w:style>
  <w:style w:type="paragraph" w:styleId="af4">
    <w:name w:val="No Spacing"/>
    <w:uiPriority w:val="1"/>
    <w:qFormat/>
    <w:rsid w:val="008040E8"/>
    <w:pPr>
      <w:autoSpaceDE w:val="0"/>
      <w:autoSpaceDN w:val="0"/>
    </w:pPr>
    <w:rPr>
      <w:rFonts w:ascii="Times New Roman" w:eastAsia="Times New Roman" w:hAnsi="Times New Roman"/>
      <w:sz w:val="28"/>
      <w:szCs w:val="28"/>
    </w:rPr>
  </w:style>
  <w:style w:type="paragraph" w:customStyle="1" w:styleId="40">
    <w:name w:val="Основной текст4"/>
    <w:basedOn w:val="a"/>
    <w:rsid w:val="008040E8"/>
    <w:pPr>
      <w:widowControl w:val="0"/>
      <w:shd w:val="clear" w:color="auto" w:fill="FFFFFF"/>
      <w:spacing w:after="300" w:line="324" w:lineRule="exact"/>
      <w:jc w:val="center"/>
    </w:pPr>
    <w:rPr>
      <w:rFonts w:ascii="Times New Roman" w:eastAsia="Times New Roman" w:hAnsi="Times New Roman"/>
      <w:color w:val="000000"/>
      <w:sz w:val="24"/>
      <w:szCs w:val="24"/>
      <w:lang w:eastAsia="ru-RU" w:bidi="ru-RU"/>
    </w:rPr>
  </w:style>
  <w:style w:type="paragraph" w:styleId="af5">
    <w:name w:val="footnote text"/>
    <w:basedOn w:val="a"/>
    <w:link w:val="af6"/>
    <w:uiPriority w:val="99"/>
    <w:unhideWhenUsed/>
    <w:rsid w:val="008040E8"/>
    <w:rPr>
      <w:sz w:val="20"/>
      <w:szCs w:val="20"/>
    </w:rPr>
  </w:style>
  <w:style w:type="character" w:customStyle="1" w:styleId="af6">
    <w:name w:val="Текст сноски Знак"/>
    <w:basedOn w:val="a0"/>
    <w:link w:val="af5"/>
    <w:uiPriority w:val="99"/>
    <w:rsid w:val="008040E8"/>
    <w:rPr>
      <w:sz w:val="20"/>
      <w:szCs w:val="20"/>
      <w:lang w:eastAsia="en-US"/>
    </w:rPr>
  </w:style>
  <w:style w:type="character" w:styleId="af7">
    <w:name w:val="footnote reference"/>
    <w:rsid w:val="008040E8"/>
    <w:rPr>
      <w:vertAlign w:val="superscript"/>
    </w:rPr>
  </w:style>
  <w:style w:type="numbering" w:customStyle="1" w:styleId="21">
    <w:name w:val="Нет списка2"/>
    <w:next w:val="a2"/>
    <w:semiHidden/>
    <w:rsid w:val="00A245C4"/>
  </w:style>
  <w:style w:type="paragraph" w:styleId="af8">
    <w:name w:val="Body Text Indent"/>
    <w:basedOn w:val="a"/>
    <w:link w:val="af9"/>
    <w:uiPriority w:val="99"/>
    <w:unhideWhenUsed/>
    <w:rsid w:val="005D0F08"/>
    <w:pPr>
      <w:spacing w:after="120"/>
      <w:ind w:left="283"/>
    </w:pPr>
  </w:style>
  <w:style w:type="character" w:customStyle="1" w:styleId="af9">
    <w:name w:val="Основной текст с отступом Знак"/>
    <w:basedOn w:val="a0"/>
    <w:link w:val="af8"/>
    <w:uiPriority w:val="99"/>
    <w:rsid w:val="005D0F08"/>
    <w:rPr>
      <w:lang w:eastAsia="en-US"/>
    </w:rPr>
  </w:style>
  <w:style w:type="numbering" w:customStyle="1" w:styleId="33">
    <w:name w:val="Нет списка3"/>
    <w:next w:val="a2"/>
    <w:semiHidden/>
    <w:rsid w:val="005D0F08"/>
  </w:style>
  <w:style w:type="paragraph" w:styleId="afa">
    <w:name w:val="Title"/>
    <w:basedOn w:val="a"/>
    <w:next w:val="a"/>
    <w:link w:val="afb"/>
    <w:qFormat/>
    <w:locked/>
    <w:rsid w:val="005D0F08"/>
    <w:pPr>
      <w:spacing w:before="240" w:after="60" w:line="240" w:lineRule="auto"/>
      <w:jc w:val="center"/>
      <w:outlineLvl w:val="0"/>
    </w:pPr>
    <w:rPr>
      <w:rFonts w:ascii="Cambria" w:eastAsia="Times New Roman" w:hAnsi="Cambria"/>
      <w:b/>
      <w:bCs/>
      <w:kern w:val="28"/>
      <w:sz w:val="32"/>
      <w:szCs w:val="32"/>
      <w:lang w:eastAsia="ru-RU"/>
    </w:rPr>
  </w:style>
  <w:style w:type="character" w:customStyle="1" w:styleId="afb">
    <w:name w:val="Название Знак"/>
    <w:basedOn w:val="a0"/>
    <w:link w:val="afa"/>
    <w:rsid w:val="005D0F08"/>
    <w:rPr>
      <w:rFonts w:ascii="Cambria" w:eastAsia="Times New Roman" w:hAnsi="Cambria"/>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564">
      <w:bodyDiv w:val="1"/>
      <w:marLeft w:val="0"/>
      <w:marRight w:val="0"/>
      <w:marTop w:val="0"/>
      <w:marBottom w:val="0"/>
      <w:divBdr>
        <w:top w:val="none" w:sz="0" w:space="0" w:color="auto"/>
        <w:left w:val="none" w:sz="0" w:space="0" w:color="auto"/>
        <w:bottom w:val="none" w:sz="0" w:space="0" w:color="auto"/>
        <w:right w:val="none" w:sz="0" w:space="0" w:color="auto"/>
      </w:divBdr>
    </w:div>
    <w:div w:id="185367718">
      <w:bodyDiv w:val="1"/>
      <w:marLeft w:val="0"/>
      <w:marRight w:val="0"/>
      <w:marTop w:val="0"/>
      <w:marBottom w:val="0"/>
      <w:divBdr>
        <w:top w:val="none" w:sz="0" w:space="0" w:color="auto"/>
        <w:left w:val="none" w:sz="0" w:space="0" w:color="auto"/>
        <w:bottom w:val="none" w:sz="0" w:space="0" w:color="auto"/>
        <w:right w:val="none" w:sz="0" w:space="0" w:color="auto"/>
      </w:divBdr>
    </w:div>
    <w:div w:id="271979007">
      <w:bodyDiv w:val="1"/>
      <w:marLeft w:val="0"/>
      <w:marRight w:val="0"/>
      <w:marTop w:val="0"/>
      <w:marBottom w:val="0"/>
      <w:divBdr>
        <w:top w:val="none" w:sz="0" w:space="0" w:color="auto"/>
        <w:left w:val="none" w:sz="0" w:space="0" w:color="auto"/>
        <w:bottom w:val="none" w:sz="0" w:space="0" w:color="auto"/>
        <w:right w:val="none" w:sz="0" w:space="0" w:color="auto"/>
      </w:divBdr>
    </w:div>
    <w:div w:id="354120635">
      <w:bodyDiv w:val="1"/>
      <w:marLeft w:val="0"/>
      <w:marRight w:val="0"/>
      <w:marTop w:val="0"/>
      <w:marBottom w:val="0"/>
      <w:divBdr>
        <w:top w:val="none" w:sz="0" w:space="0" w:color="auto"/>
        <w:left w:val="none" w:sz="0" w:space="0" w:color="auto"/>
        <w:bottom w:val="none" w:sz="0" w:space="0" w:color="auto"/>
        <w:right w:val="none" w:sz="0" w:space="0" w:color="auto"/>
      </w:divBdr>
    </w:div>
    <w:div w:id="419957359">
      <w:marLeft w:val="0"/>
      <w:marRight w:val="0"/>
      <w:marTop w:val="0"/>
      <w:marBottom w:val="0"/>
      <w:divBdr>
        <w:top w:val="none" w:sz="0" w:space="0" w:color="auto"/>
        <w:left w:val="none" w:sz="0" w:space="0" w:color="auto"/>
        <w:bottom w:val="none" w:sz="0" w:space="0" w:color="auto"/>
        <w:right w:val="none" w:sz="0" w:space="0" w:color="auto"/>
      </w:divBdr>
    </w:div>
    <w:div w:id="419957360">
      <w:marLeft w:val="0"/>
      <w:marRight w:val="0"/>
      <w:marTop w:val="0"/>
      <w:marBottom w:val="0"/>
      <w:divBdr>
        <w:top w:val="none" w:sz="0" w:space="0" w:color="auto"/>
        <w:left w:val="none" w:sz="0" w:space="0" w:color="auto"/>
        <w:bottom w:val="none" w:sz="0" w:space="0" w:color="auto"/>
        <w:right w:val="none" w:sz="0" w:space="0" w:color="auto"/>
      </w:divBdr>
    </w:div>
    <w:div w:id="419957361">
      <w:marLeft w:val="0"/>
      <w:marRight w:val="0"/>
      <w:marTop w:val="0"/>
      <w:marBottom w:val="0"/>
      <w:divBdr>
        <w:top w:val="none" w:sz="0" w:space="0" w:color="auto"/>
        <w:left w:val="none" w:sz="0" w:space="0" w:color="auto"/>
        <w:bottom w:val="none" w:sz="0" w:space="0" w:color="auto"/>
        <w:right w:val="none" w:sz="0" w:space="0" w:color="auto"/>
      </w:divBdr>
    </w:div>
    <w:div w:id="419957362">
      <w:marLeft w:val="0"/>
      <w:marRight w:val="0"/>
      <w:marTop w:val="0"/>
      <w:marBottom w:val="0"/>
      <w:divBdr>
        <w:top w:val="none" w:sz="0" w:space="0" w:color="auto"/>
        <w:left w:val="none" w:sz="0" w:space="0" w:color="auto"/>
        <w:bottom w:val="none" w:sz="0" w:space="0" w:color="auto"/>
        <w:right w:val="none" w:sz="0" w:space="0" w:color="auto"/>
      </w:divBdr>
    </w:div>
    <w:div w:id="419957363">
      <w:marLeft w:val="0"/>
      <w:marRight w:val="0"/>
      <w:marTop w:val="0"/>
      <w:marBottom w:val="0"/>
      <w:divBdr>
        <w:top w:val="none" w:sz="0" w:space="0" w:color="auto"/>
        <w:left w:val="none" w:sz="0" w:space="0" w:color="auto"/>
        <w:bottom w:val="none" w:sz="0" w:space="0" w:color="auto"/>
        <w:right w:val="none" w:sz="0" w:space="0" w:color="auto"/>
      </w:divBdr>
    </w:div>
    <w:div w:id="419957364">
      <w:marLeft w:val="0"/>
      <w:marRight w:val="0"/>
      <w:marTop w:val="0"/>
      <w:marBottom w:val="0"/>
      <w:divBdr>
        <w:top w:val="none" w:sz="0" w:space="0" w:color="auto"/>
        <w:left w:val="none" w:sz="0" w:space="0" w:color="auto"/>
        <w:bottom w:val="none" w:sz="0" w:space="0" w:color="auto"/>
        <w:right w:val="none" w:sz="0" w:space="0" w:color="auto"/>
      </w:divBdr>
    </w:div>
    <w:div w:id="419957365">
      <w:marLeft w:val="0"/>
      <w:marRight w:val="0"/>
      <w:marTop w:val="0"/>
      <w:marBottom w:val="0"/>
      <w:divBdr>
        <w:top w:val="none" w:sz="0" w:space="0" w:color="auto"/>
        <w:left w:val="none" w:sz="0" w:space="0" w:color="auto"/>
        <w:bottom w:val="none" w:sz="0" w:space="0" w:color="auto"/>
        <w:right w:val="none" w:sz="0" w:space="0" w:color="auto"/>
      </w:divBdr>
    </w:div>
    <w:div w:id="419957366">
      <w:marLeft w:val="0"/>
      <w:marRight w:val="0"/>
      <w:marTop w:val="0"/>
      <w:marBottom w:val="0"/>
      <w:divBdr>
        <w:top w:val="none" w:sz="0" w:space="0" w:color="auto"/>
        <w:left w:val="none" w:sz="0" w:space="0" w:color="auto"/>
        <w:bottom w:val="none" w:sz="0" w:space="0" w:color="auto"/>
        <w:right w:val="none" w:sz="0" w:space="0" w:color="auto"/>
      </w:divBdr>
    </w:div>
    <w:div w:id="419957367">
      <w:marLeft w:val="0"/>
      <w:marRight w:val="0"/>
      <w:marTop w:val="0"/>
      <w:marBottom w:val="0"/>
      <w:divBdr>
        <w:top w:val="none" w:sz="0" w:space="0" w:color="auto"/>
        <w:left w:val="none" w:sz="0" w:space="0" w:color="auto"/>
        <w:bottom w:val="none" w:sz="0" w:space="0" w:color="auto"/>
        <w:right w:val="none" w:sz="0" w:space="0" w:color="auto"/>
      </w:divBdr>
    </w:div>
    <w:div w:id="419957368">
      <w:marLeft w:val="0"/>
      <w:marRight w:val="0"/>
      <w:marTop w:val="0"/>
      <w:marBottom w:val="0"/>
      <w:divBdr>
        <w:top w:val="none" w:sz="0" w:space="0" w:color="auto"/>
        <w:left w:val="none" w:sz="0" w:space="0" w:color="auto"/>
        <w:bottom w:val="none" w:sz="0" w:space="0" w:color="auto"/>
        <w:right w:val="none" w:sz="0" w:space="0" w:color="auto"/>
      </w:divBdr>
    </w:div>
    <w:div w:id="419957369">
      <w:marLeft w:val="0"/>
      <w:marRight w:val="0"/>
      <w:marTop w:val="0"/>
      <w:marBottom w:val="0"/>
      <w:divBdr>
        <w:top w:val="none" w:sz="0" w:space="0" w:color="auto"/>
        <w:left w:val="none" w:sz="0" w:space="0" w:color="auto"/>
        <w:bottom w:val="none" w:sz="0" w:space="0" w:color="auto"/>
        <w:right w:val="none" w:sz="0" w:space="0" w:color="auto"/>
      </w:divBdr>
    </w:div>
    <w:div w:id="419957370">
      <w:marLeft w:val="0"/>
      <w:marRight w:val="0"/>
      <w:marTop w:val="0"/>
      <w:marBottom w:val="0"/>
      <w:divBdr>
        <w:top w:val="none" w:sz="0" w:space="0" w:color="auto"/>
        <w:left w:val="none" w:sz="0" w:space="0" w:color="auto"/>
        <w:bottom w:val="none" w:sz="0" w:space="0" w:color="auto"/>
        <w:right w:val="none" w:sz="0" w:space="0" w:color="auto"/>
      </w:divBdr>
    </w:div>
    <w:div w:id="419957371">
      <w:marLeft w:val="0"/>
      <w:marRight w:val="0"/>
      <w:marTop w:val="0"/>
      <w:marBottom w:val="0"/>
      <w:divBdr>
        <w:top w:val="none" w:sz="0" w:space="0" w:color="auto"/>
        <w:left w:val="none" w:sz="0" w:space="0" w:color="auto"/>
        <w:bottom w:val="none" w:sz="0" w:space="0" w:color="auto"/>
        <w:right w:val="none" w:sz="0" w:space="0" w:color="auto"/>
      </w:divBdr>
    </w:div>
    <w:div w:id="419957372">
      <w:marLeft w:val="0"/>
      <w:marRight w:val="0"/>
      <w:marTop w:val="0"/>
      <w:marBottom w:val="0"/>
      <w:divBdr>
        <w:top w:val="none" w:sz="0" w:space="0" w:color="auto"/>
        <w:left w:val="none" w:sz="0" w:space="0" w:color="auto"/>
        <w:bottom w:val="none" w:sz="0" w:space="0" w:color="auto"/>
        <w:right w:val="none" w:sz="0" w:space="0" w:color="auto"/>
      </w:divBdr>
    </w:div>
    <w:div w:id="419957373">
      <w:marLeft w:val="0"/>
      <w:marRight w:val="0"/>
      <w:marTop w:val="0"/>
      <w:marBottom w:val="0"/>
      <w:divBdr>
        <w:top w:val="none" w:sz="0" w:space="0" w:color="auto"/>
        <w:left w:val="none" w:sz="0" w:space="0" w:color="auto"/>
        <w:bottom w:val="none" w:sz="0" w:space="0" w:color="auto"/>
        <w:right w:val="none" w:sz="0" w:space="0" w:color="auto"/>
      </w:divBdr>
    </w:div>
    <w:div w:id="419957374">
      <w:marLeft w:val="0"/>
      <w:marRight w:val="0"/>
      <w:marTop w:val="0"/>
      <w:marBottom w:val="0"/>
      <w:divBdr>
        <w:top w:val="none" w:sz="0" w:space="0" w:color="auto"/>
        <w:left w:val="none" w:sz="0" w:space="0" w:color="auto"/>
        <w:bottom w:val="none" w:sz="0" w:space="0" w:color="auto"/>
        <w:right w:val="none" w:sz="0" w:space="0" w:color="auto"/>
      </w:divBdr>
    </w:div>
    <w:div w:id="419957375">
      <w:marLeft w:val="0"/>
      <w:marRight w:val="0"/>
      <w:marTop w:val="0"/>
      <w:marBottom w:val="0"/>
      <w:divBdr>
        <w:top w:val="none" w:sz="0" w:space="0" w:color="auto"/>
        <w:left w:val="none" w:sz="0" w:space="0" w:color="auto"/>
        <w:bottom w:val="none" w:sz="0" w:space="0" w:color="auto"/>
        <w:right w:val="none" w:sz="0" w:space="0" w:color="auto"/>
      </w:divBdr>
    </w:div>
    <w:div w:id="419957376">
      <w:marLeft w:val="0"/>
      <w:marRight w:val="0"/>
      <w:marTop w:val="0"/>
      <w:marBottom w:val="0"/>
      <w:divBdr>
        <w:top w:val="none" w:sz="0" w:space="0" w:color="auto"/>
        <w:left w:val="none" w:sz="0" w:space="0" w:color="auto"/>
        <w:bottom w:val="none" w:sz="0" w:space="0" w:color="auto"/>
        <w:right w:val="none" w:sz="0" w:space="0" w:color="auto"/>
      </w:divBdr>
    </w:div>
    <w:div w:id="419957377">
      <w:marLeft w:val="0"/>
      <w:marRight w:val="0"/>
      <w:marTop w:val="0"/>
      <w:marBottom w:val="0"/>
      <w:divBdr>
        <w:top w:val="none" w:sz="0" w:space="0" w:color="auto"/>
        <w:left w:val="none" w:sz="0" w:space="0" w:color="auto"/>
        <w:bottom w:val="none" w:sz="0" w:space="0" w:color="auto"/>
        <w:right w:val="none" w:sz="0" w:space="0" w:color="auto"/>
      </w:divBdr>
    </w:div>
    <w:div w:id="419957378">
      <w:marLeft w:val="0"/>
      <w:marRight w:val="0"/>
      <w:marTop w:val="0"/>
      <w:marBottom w:val="0"/>
      <w:divBdr>
        <w:top w:val="none" w:sz="0" w:space="0" w:color="auto"/>
        <w:left w:val="none" w:sz="0" w:space="0" w:color="auto"/>
        <w:bottom w:val="none" w:sz="0" w:space="0" w:color="auto"/>
        <w:right w:val="none" w:sz="0" w:space="0" w:color="auto"/>
      </w:divBdr>
    </w:div>
    <w:div w:id="419957379">
      <w:marLeft w:val="0"/>
      <w:marRight w:val="0"/>
      <w:marTop w:val="0"/>
      <w:marBottom w:val="0"/>
      <w:divBdr>
        <w:top w:val="none" w:sz="0" w:space="0" w:color="auto"/>
        <w:left w:val="none" w:sz="0" w:space="0" w:color="auto"/>
        <w:bottom w:val="none" w:sz="0" w:space="0" w:color="auto"/>
        <w:right w:val="none" w:sz="0" w:space="0" w:color="auto"/>
      </w:divBdr>
    </w:div>
    <w:div w:id="419957380">
      <w:marLeft w:val="0"/>
      <w:marRight w:val="0"/>
      <w:marTop w:val="0"/>
      <w:marBottom w:val="0"/>
      <w:divBdr>
        <w:top w:val="none" w:sz="0" w:space="0" w:color="auto"/>
        <w:left w:val="none" w:sz="0" w:space="0" w:color="auto"/>
        <w:bottom w:val="none" w:sz="0" w:space="0" w:color="auto"/>
        <w:right w:val="none" w:sz="0" w:space="0" w:color="auto"/>
      </w:divBdr>
    </w:div>
    <w:div w:id="419957381">
      <w:marLeft w:val="0"/>
      <w:marRight w:val="0"/>
      <w:marTop w:val="0"/>
      <w:marBottom w:val="0"/>
      <w:divBdr>
        <w:top w:val="none" w:sz="0" w:space="0" w:color="auto"/>
        <w:left w:val="none" w:sz="0" w:space="0" w:color="auto"/>
        <w:bottom w:val="none" w:sz="0" w:space="0" w:color="auto"/>
        <w:right w:val="none" w:sz="0" w:space="0" w:color="auto"/>
      </w:divBdr>
    </w:div>
    <w:div w:id="419957382">
      <w:marLeft w:val="0"/>
      <w:marRight w:val="0"/>
      <w:marTop w:val="0"/>
      <w:marBottom w:val="0"/>
      <w:divBdr>
        <w:top w:val="none" w:sz="0" w:space="0" w:color="auto"/>
        <w:left w:val="none" w:sz="0" w:space="0" w:color="auto"/>
        <w:bottom w:val="none" w:sz="0" w:space="0" w:color="auto"/>
        <w:right w:val="none" w:sz="0" w:space="0" w:color="auto"/>
      </w:divBdr>
    </w:div>
    <w:div w:id="419957383">
      <w:marLeft w:val="0"/>
      <w:marRight w:val="0"/>
      <w:marTop w:val="0"/>
      <w:marBottom w:val="0"/>
      <w:divBdr>
        <w:top w:val="none" w:sz="0" w:space="0" w:color="auto"/>
        <w:left w:val="none" w:sz="0" w:space="0" w:color="auto"/>
        <w:bottom w:val="none" w:sz="0" w:space="0" w:color="auto"/>
        <w:right w:val="none" w:sz="0" w:space="0" w:color="auto"/>
      </w:divBdr>
    </w:div>
    <w:div w:id="419957384">
      <w:marLeft w:val="0"/>
      <w:marRight w:val="0"/>
      <w:marTop w:val="0"/>
      <w:marBottom w:val="0"/>
      <w:divBdr>
        <w:top w:val="none" w:sz="0" w:space="0" w:color="auto"/>
        <w:left w:val="none" w:sz="0" w:space="0" w:color="auto"/>
        <w:bottom w:val="none" w:sz="0" w:space="0" w:color="auto"/>
        <w:right w:val="none" w:sz="0" w:space="0" w:color="auto"/>
      </w:divBdr>
    </w:div>
    <w:div w:id="419957385">
      <w:marLeft w:val="0"/>
      <w:marRight w:val="0"/>
      <w:marTop w:val="0"/>
      <w:marBottom w:val="0"/>
      <w:divBdr>
        <w:top w:val="none" w:sz="0" w:space="0" w:color="auto"/>
        <w:left w:val="none" w:sz="0" w:space="0" w:color="auto"/>
        <w:bottom w:val="none" w:sz="0" w:space="0" w:color="auto"/>
        <w:right w:val="none" w:sz="0" w:space="0" w:color="auto"/>
      </w:divBdr>
    </w:div>
    <w:div w:id="419957386">
      <w:marLeft w:val="0"/>
      <w:marRight w:val="0"/>
      <w:marTop w:val="0"/>
      <w:marBottom w:val="0"/>
      <w:divBdr>
        <w:top w:val="none" w:sz="0" w:space="0" w:color="auto"/>
        <w:left w:val="none" w:sz="0" w:space="0" w:color="auto"/>
        <w:bottom w:val="none" w:sz="0" w:space="0" w:color="auto"/>
        <w:right w:val="none" w:sz="0" w:space="0" w:color="auto"/>
      </w:divBdr>
    </w:div>
    <w:div w:id="419957387">
      <w:marLeft w:val="0"/>
      <w:marRight w:val="0"/>
      <w:marTop w:val="0"/>
      <w:marBottom w:val="0"/>
      <w:divBdr>
        <w:top w:val="none" w:sz="0" w:space="0" w:color="auto"/>
        <w:left w:val="none" w:sz="0" w:space="0" w:color="auto"/>
        <w:bottom w:val="none" w:sz="0" w:space="0" w:color="auto"/>
        <w:right w:val="none" w:sz="0" w:space="0" w:color="auto"/>
      </w:divBdr>
    </w:div>
    <w:div w:id="419957388">
      <w:marLeft w:val="0"/>
      <w:marRight w:val="0"/>
      <w:marTop w:val="0"/>
      <w:marBottom w:val="0"/>
      <w:divBdr>
        <w:top w:val="none" w:sz="0" w:space="0" w:color="auto"/>
        <w:left w:val="none" w:sz="0" w:space="0" w:color="auto"/>
        <w:bottom w:val="none" w:sz="0" w:space="0" w:color="auto"/>
        <w:right w:val="none" w:sz="0" w:space="0" w:color="auto"/>
      </w:divBdr>
    </w:div>
    <w:div w:id="419957389">
      <w:marLeft w:val="0"/>
      <w:marRight w:val="0"/>
      <w:marTop w:val="0"/>
      <w:marBottom w:val="0"/>
      <w:divBdr>
        <w:top w:val="none" w:sz="0" w:space="0" w:color="auto"/>
        <w:left w:val="none" w:sz="0" w:space="0" w:color="auto"/>
        <w:bottom w:val="none" w:sz="0" w:space="0" w:color="auto"/>
        <w:right w:val="none" w:sz="0" w:space="0" w:color="auto"/>
      </w:divBdr>
    </w:div>
    <w:div w:id="419957390">
      <w:marLeft w:val="0"/>
      <w:marRight w:val="0"/>
      <w:marTop w:val="0"/>
      <w:marBottom w:val="0"/>
      <w:divBdr>
        <w:top w:val="none" w:sz="0" w:space="0" w:color="auto"/>
        <w:left w:val="none" w:sz="0" w:space="0" w:color="auto"/>
        <w:bottom w:val="none" w:sz="0" w:space="0" w:color="auto"/>
        <w:right w:val="none" w:sz="0" w:space="0" w:color="auto"/>
      </w:divBdr>
    </w:div>
    <w:div w:id="419957391">
      <w:marLeft w:val="0"/>
      <w:marRight w:val="0"/>
      <w:marTop w:val="0"/>
      <w:marBottom w:val="0"/>
      <w:divBdr>
        <w:top w:val="none" w:sz="0" w:space="0" w:color="auto"/>
        <w:left w:val="none" w:sz="0" w:space="0" w:color="auto"/>
        <w:bottom w:val="none" w:sz="0" w:space="0" w:color="auto"/>
        <w:right w:val="none" w:sz="0" w:space="0" w:color="auto"/>
      </w:divBdr>
    </w:div>
    <w:div w:id="419957392">
      <w:marLeft w:val="0"/>
      <w:marRight w:val="0"/>
      <w:marTop w:val="0"/>
      <w:marBottom w:val="0"/>
      <w:divBdr>
        <w:top w:val="none" w:sz="0" w:space="0" w:color="auto"/>
        <w:left w:val="none" w:sz="0" w:space="0" w:color="auto"/>
        <w:bottom w:val="none" w:sz="0" w:space="0" w:color="auto"/>
        <w:right w:val="none" w:sz="0" w:space="0" w:color="auto"/>
      </w:divBdr>
    </w:div>
    <w:div w:id="419957393">
      <w:marLeft w:val="0"/>
      <w:marRight w:val="0"/>
      <w:marTop w:val="0"/>
      <w:marBottom w:val="0"/>
      <w:divBdr>
        <w:top w:val="none" w:sz="0" w:space="0" w:color="auto"/>
        <w:left w:val="none" w:sz="0" w:space="0" w:color="auto"/>
        <w:bottom w:val="none" w:sz="0" w:space="0" w:color="auto"/>
        <w:right w:val="none" w:sz="0" w:space="0" w:color="auto"/>
      </w:divBdr>
    </w:div>
    <w:div w:id="463617537">
      <w:bodyDiv w:val="1"/>
      <w:marLeft w:val="0"/>
      <w:marRight w:val="0"/>
      <w:marTop w:val="0"/>
      <w:marBottom w:val="0"/>
      <w:divBdr>
        <w:top w:val="none" w:sz="0" w:space="0" w:color="auto"/>
        <w:left w:val="none" w:sz="0" w:space="0" w:color="auto"/>
        <w:bottom w:val="none" w:sz="0" w:space="0" w:color="auto"/>
        <w:right w:val="none" w:sz="0" w:space="0" w:color="auto"/>
      </w:divBdr>
    </w:div>
    <w:div w:id="758913850">
      <w:bodyDiv w:val="1"/>
      <w:marLeft w:val="0"/>
      <w:marRight w:val="0"/>
      <w:marTop w:val="0"/>
      <w:marBottom w:val="0"/>
      <w:divBdr>
        <w:top w:val="none" w:sz="0" w:space="0" w:color="auto"/>
        <w:left w:val="none" w:sz="0" w:space="0" w:color="auto"/>
        <w:bottom w:val="none" w:sz="0" w:space="0" w:color="auto"/>
        <w:right w:val="none" w:sz="0" w:space="0" w:color="auto"/>
      </w:divBdr>
    </w:div>
    <w:div w:id="1057363664">
      <w:bodyDiv w:val="1"/>
      <w:marLeft w:val="0"/>
      <w:marRight w:val="0"/>
      <w:marTop w:val="0"/>
      <w:marBottom w:val="0"/>
      <w:divBdr>
        <w:top w:val="none" w:sz="0" w:space="0" w:color="auto"/>
        <w:left w:val="none" w:sz="0" w:space="0" w:color="auto"/>
        <w:bottom w:val="none" w:sz="0" w:space="0" w:color="auto"/>
        <w:right w:val="none" w:sz="0" w:space="0" w:color="auto"/>
      </w:divBdr>
    </w:div>
    <w:div w:id="1147087847">
      <w:bodyDiv w:val="1"/>
      <w:marLeft w:val="0"/>
      <w:marRight w:val="0"/>
      <w:marTop w:val="0"/>
      <w:marBottom w:val="0"/>
      <w:divBdr>
        <w:top w:val="none" w:sz="0" w:space="0" w:color="auto"/>
        <w:left w:val="none" w:sz="0" w:space="0" w:color="auto"/>
        <w:bottom w:val="none" w:sz="0" w:space="0" w:color="auto"/>
        <w:right w:val="none" w:sz="0" w:space="0" w:color="auto"/>
      </w:divBdr>
    </w:div>
    <w:div w:id="1147669787">
      <w:bodyDiv w:val="1"/>
      <w:marLeft w:val="0"/>
      <w:marRight w:val="0"/>
      <w:marTop w:val="0"/>
      <w:marBottom w:val="0"/>
      <w:divBdr>
        <w:top w:val="none" w:sz="0" w:space="0" w:color="auto"/>
        <w:left w:val="none" w:sz="0" w:space="0" w:color="auto"/>
        <w:bottom w:val="none" w:sz="0" w:space="0" w:color="auto"/>
        <w:right w:val="none" w:sz="0" w:space="0" w:color="auto"/>
      </w:divBdr>
    </w:div>
    <w:div w:id="1177887319">
      <w:bodyDiv w:val="1"/>
      <w:marLeft w:val="0"/>
      <w:marRight w:val="0"/>
      <w:marTop w:val="0"/>
      <w:marBottom w:val="0"/>
      <w:divBdr>
        <w:top w:val="none" w:sz="0" w:space="0" w:color="auto"/>
        <w:left w:val="none" w:sz="0" w:space="0" w:color="auto"/>
        <w:bottom w:val="none" w:sz="0" w:space="0" w:color="auto"/>
        <w:right w:val="none" w:sz="0" w:space="0" w:color="auto"/>
      </w:divBdr>
    </w:div>
    <w:div w:id="1246263496">
      <w:bodyDiv w:val="1"/>
      <w:marLeft w:val="0"/>
      <w:marRight w:val="0"/>
      <w:marTop w:val="0"/>
      <w:marBottom w:val="0"/>
      <w:divBdr>
        <w:top w:val="none" w:sz="0" w:space="0" w:color="auto"/>
        <w:left w:val="none" w:sz="0" w:space="0" w:color="auto"/>
        <w:bottom w:val="none" w:sz="0" w:space="0" w:color="auto"/>
        <w:right w:val="none" w:sz="0" w:space="0" w:color="auto"/>
      </w:divBdr>
    </w:div>
    <w:div w:id="1318338892">
      <w:bodyDiv w:val="1"/>
      <w:marLeft w:val="0"/>
      <w:marRight w:val="0"/>
      <w:marTop w:val="0"/>
      <w:marBottom w:val="0"/>
      <w:divBdr>
        <w:top w:val="none" w:sz="0" w:space="0" w:color="auto"/>
        <w:left w:val="none" w:sz="0" w:space="0" w:color="auto"/>
        <w:bottom w:val="none" w:sz="0" w:space="0" w:color="auto"/>
        <w:right w:val="none" w:sz="0" w:space="0" w:color="auto"/>
      </w:divBdr>
    </w:div>
    <w:div w:id="1422294888">
      <w:bodyDiv w:val="1"/>
      <w:marLeft w:val="0"/>
      <w:marRight w:val="0"/>
      <w:marTop w:val="0"/>
      <w:marBottom w:val="0"/>
      <w:divBdr>
        <w:top w:val="none" w:sz="0" w:space="0" w:color="auto"/>
        <w:left w:val="none" w:sz="0" w:space="0" w:color="auto"/>
        <w:bottom w:val="none" w:sz="0" w:space="0" w:color="auto"/>
        <w:right w:val="none" w:sz="0" w:space="0" w:color="auto"/>
      </w:divBdr>
    </w:div>
    <w:div w:id="1544055058">
      <w:bodyDiv w:val="1"/>
      <w:marLeft w:val="0"/>
      <w:marRight w:val="0"/>
      <w:marTop w:val="0"/>
      <w:marBottom w:val="0"/>
      <w:divBdr>
        <w:top w:val="none" w:sz="0" w:space="0" w:color="auto"/>
        <w:left w:val="none" w:sz="0" w:space="0" w:color="auto"/>
        <w:bottom w:val="none" w:sz="0" w:space="0" w:color="auto"/>
        <w:right w:val="none" w:sz="0" w:space="0" w:color="auto"/>
      </w:divBdr>
    </w:div>
    <w:div w:id="1708137405">
      <w:bodyDiv w:val="1"/>
      <w:marLeft w:val="0"/>
      <w:marRight w:val="0"/>
      <w:marTop w:val="0"/>
      <w:marBottom w:val="0"/>
      <w:divBdr>
        <w:top w:val="none" w:sz="0" w:space="0" w:color="auto"/>
        <w:left w:val="none" w:sz="0" w:space="0" w:color="auto"/>
        <w:bottom w:val="none" w:sz="0" w:space="0" w:color="auto"/>
        <w:right w:val="none" w:sz="0" w:space="0" w:color="auto"/>
      </w:divBdr>
    </w:div>
    <w:div w:id="1845708861">
      <w:bodyDiv w:val="1"/>
      <w:marLeft w:val="0"/>
      <w:marRight w:val="0"/>
      <w:marTop w:val="0"/>
      <w:marBottom w:val="0"/>
      <w:divBdr>
        <w:top w:val="none" w:sz="0" w:space="0" w:color="auto"/>
        <w:left w:val="none" w:sz="0" w:space="0" w:color="auto"/>
        <w:bottom w:val="none" w:sz="0" w:space="0" w:color="auto"/>
        <w:right w:val="none" w:sz="0" w:space="0" w:color="auto"/>
      </w:divBdr>
    </w:div>
    <w:div w:id="190883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330962&amp;dst=10072" TargetMode="External"/><Relationship Id="rId18" Type="http://schemas.openxmlformats.org/officeDocument/2006/relationships/hyperlink" Target="https://login.consultant.ru/link/?req=doc&amp;base=LAW&amp;n=330962&amp;dst=5385" TargetMode="External"/><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login.consultant.ru/link/?req=doc&amp;base=LAW&amp;n=330962&amp;dst=5277" TargetMode="External"/><Relationship Id="rId17" Type="http://schemas.openxmlformats.org/officeDocument/2006/relationships/hyperlink" Target="https://login.consultant.ru/link/?req=doc&amp;base=LAW&amp;n=330962&amp;dst=5304" TargetMode="External"/><Relationship Id="rId25" Type="http://schemas.openxmlformats.org/officeDocument/2006/relationships/image" Target="media/image8.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330962&amp;dst=10447" TargetMode="External"/><Relationship Id="rId20" Type="http://schemas.openxmlformats.org/officeDocument/2006/relationships/image" Target="media/image3.wmf"/><Relationship Id="rId29" Type="http://schemas.openxmlformats.org/officeDocument/2006/relationships/hyperlink" Target="consultantplus://offline/ref=EAAB6D573D4806F44699A4A5F5610FFE08681852B06332E924E357D27CDEEBB13B6F2DB09F99E56705574E9C723B25C0BC17C149AAA0C22D2AM5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30962&amp;dst=8938" TargetMode="Externa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login.consultant.ru/link/?req=doc&amp;base=LAW&amp;n=330962&amp;dst=10076" TargetMode="External"/><Relationship Id="rId23" Type="http://schemas.openxmlformats.org/officeDocument/2006/relationships/image" Target="media/image6.wmf"/><Relationship Id="rId28" Type="http://schemas.openxmlformats.org/officeDocument/2006/relationships/image" Target="media/image11.wmf"/><Relationship Id="rId10" Type="http://schemas.openxmlformats.org/officeDocument/2006/relationships/image" Target="media/image2.emf"/><Relationship Id="rId19" Type="http://schemas.openxmlformats.org/officeDocument/2006/relationships/hyperlink" Target="https://login.consultant.ru/link/?req=doc&amp;base=LAW&amp;n=330962&amp;dst=8939" TargetMode="External"/><Relationship Id="rId31" Type="http://schemas.openxmlformats.org/officeDocument/2006/relationships/image" Target="media/image13.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login.consultant.ru/link/?req=doc&amp;base=LAW&amp;n=330962&amp;dst=10073" TargetMode="Externa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2.wmf"/><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FF11C-442F-488D-A5AC-84E1573AB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71</Pages>
  <Words>37116</Words>
  <Characters>211564</Characters>
  <Application>Microsoft Office Word</Application>
  <DocSecurity>0</DocSecurity>
  <Lines>1763</Lines>
  <Paragraphs>496</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248184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Арбузова О.Б..</dc:creator>
  <cp:lastModifiedBy>Арбузова</cp:lastModifiedBy>
  <cp:revision>64</cp:revision>
  <cp:lastPrinted>2025-04-30T04:15:00Z</cp:lastPrinted>
  <dcterms:created xsi:type="dcterms:W3CDTF">2021-03-03T09:16:00Z</dcterms:created>
  <dcterms:modified xsi:type="dcterms:W3CDTF">2025-06-20T06:50:00Z</dcterms:modified>
</cp:coreProperties>
</file>